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7C" w:rsidRPr="00E74CCB" w:rsidRDefault="00446B7C" w:rsidP="00446B7C">
      <w:pPr>
        <w:pStyle w:val="Heading1"/>
        <w:jc w:val="left"/>
        <w:rPr>
          <w:u w:val="none"/>
        </w:rPr>
      </w:pPr>
      <w:r w:rsidRPr="00E74CCB">
        <w:rPr>
          <w:u w:val="none"/>
          <w:rtl/>
        </w:rPr>
        <w:t>الجمهورية اللبنانية</w:t>
      </w:r>
    </w:p>
    <w:p w:rsidR="00446B7C" w:rsidRDefault="00446B7C" w:rsidP="00446B7C">
      <w:pPr>
        <w:bidi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rtl/>
        </w:rPr>
        <w:t xml:space="preserve">  </w:t>
      </w:r>
      <w:r>
        <w:rPr>
          <w:b/>
          <w:bCs/>
          <w:sz w:val="28"/>
          <w:u w:val="single"/>
          <w:rtl/>
        </w:rPr>
        <w:t>مجلس النواب</w:t>
      </w:r>
    </w:p>
    <w:p w:rsidR="00D13568" w:rsidRPr="00D13568" w:rsidRDefault="00D13568" w:rsidP="00D13568">
      <w:pPr>
        <w:bidi/>
        <w:jc w:val="both"/>
        <w:rPr>
          <w:b/>
          <w:bCs/>
          <w:sz w:val="22"/>
          <w:szCs w:val="22"/>
          <w:rtl/>
        </w:rPr>
      </w:pPr>
      <w:r w:rsidRPr="00D13568">
        <w:rPr>
          <w:rFonts w:hint="cs"/>
          <w:b/>
          <w:bCs/>
          <w:sz w:val="22"/>
          <w:szCs w:val="22"/>
          <w:rtl/>
        </w:rPr>
        <w:t>قانون رقم 265 تاريخ 15/4/2014</w:t>
      </w:r>
    </w:p>
    <w:p w:rsidR="00446B7C" w:rsidRPr="00D13568" w:rsidRDefault="00D13568" w:rsidP="00D13568">
      <w:pPr>
        <w:bidi/>
        <w:jc w:val="both"/>
        <w:rPr>
          <w:rFonts w:ascii="Simplified Arabic" w:hAnsi="Simplified Arabic"/>
          <w:b/>
          <w:bCs/>
          <w:sz w:val="22"/>
          <w:szCs w:val="22"/>
          <w:rtl/>
        </w:rPr>
      </w:pPr>
      <w:r w:rsidRPr="00D13568">
        <w:rPr>
          <w:rFonts w:hint="cs"/>
          <w:b/>
          <w:bCs/>
          <w:sz w:val="22"/>
          <w:szCs w:val="22"/>
          <w:rtl/>
        </w:rPr>
        <w:t>(ج. ر. رقم 17 تاريخ 22/4/2014)</w:t>
      </w:r>
    </w:p>
    <w:p w:rsidR="00446B7C" w:rsidRPr="00E0218D" w:rsidRDefault="00446B7C" w:rsidP="00446B7C">
      <w:pPr>
        <w:bidi/>
        <w:jc w:val="center"/>
        <w:rPr>
          <w:b/>
          <w:bCs/>
          <w:sz w:val="28"/>
          <w:rtl/>
        </w:rPr>
      </w:pPr>
      <w:r w:rsidRPr="00E0218D">
        <w:rPr>
          <w:b/>
          <w:bCs/>
          <w:sz w:val="28"/>
          <w:rtl/>
        </w:rPr>
        <w:t xml:space="preserve">قانون </w:t>
      </w:r>
    </w:p>
    <w:p w:rsidR="00446B7C" w:rsidRPr="00E0218D" w:rsidRDefault="00446B7C" w:rsidP="00446B7C">
      <w:pPr>
        <w:bidi/>
        <w:jc w:val="center"/>
        <w:rPr>
          <w:b/>
          <w:bCs/>
          <w:sz w:val="28"/>
        </w:rPr>
      </w:pPr>
      <w:r w:rsidRPr="00E0218D">
        <w:rPr>
          <w:b/>
          <w:bCs/>
          <w:sz w:val="28"/>
          <w:rtl/>
        </w:rPr>
        <w:t>تعديل بعض أحكام قانون حماية المستهلك</w:t>
      </w:r>
    </w:p>
    <w:p w:rsidR="00446B7C" w:rsidRPr="00E0218D" w:rsidRDefault="00446B7C" w:rsidP="00446B7C">
      <w:pPr>
        <w:bidi/>
        <w:jc w:val="center"/>
        <w:rPr>
          <w:b/>
          <w:bCs/>
          <w:sz w:val="28"/>
          <w:rtl/>
        </w:rPr>
      </w:pPr>
      <w:r w:rsidRPr="00E0218D">
        <w:rPr>
          <w:b/>
          <w:bCs/>
          <w:sz w:val="28"/>
          <w:rtl/>
        </w:rPr>
        <w:t xml:space="preserve"> رقم 659 تاريخ 4/2/2005</w:t>
      </w:r>
    </w:p>
    <w:p w:rsidR="00446B7C" w:rsidRDefault="00446B7C" w:rsidP="00446B7C">
      <w:pPr>
        <w:bidi/>
        <w:jc w:val="both"/>
        <w:rPr>
          <w:b/>
          <w:bCs/>
          <w:sz w:val="28"/>
          <w:u w:val="single"/>
          <w:rtl/>
        </w:rPr>
      </w:pPr>
    </w:p>
    <w:p w:rsidR="00446B7C" w:rsidRDefault="00446B7C" w:rsidP="00446B7C">
      <w:pPr>
        <w:bidi/>
        <w:jc w:val="both"/>
        <w:rPr>
          <w:sz w:val="28"/>
          <w:rtl/>
        </w:rPr>
      </w:pPr>
      <w:r>
        <w:rPr>
          <w:b/>
          <w:bCs/>
          <w:sz w:val="28"/>
          <w:u w:val="single"/>
          <w:rtl/>
        </w:rPr>
        <w:t>مادة</w:t>
      </w:r>
      <w:r>
        <w:rPr>
          <w:rFonts w:hint="cs"/>
          <w:b/>
          <w:bCs/>
          <w:sz w:val="28"/>
          <w:u w:val="single"/>
          <w:rtl/>
        </w:rPr>
        <w:t xml:space="preserve"> وحيدة</w:t>
      </w:r>
      <w:r>
        <w:rPr>
          <w:b/>
          <w:bCs/>
          <w:sz w:val="28"/>
          <w:u w:val="single"/>
          <w:rtl/>
        </w:rPr>
        <w:t>:</w:t>
      </w:r>
    </w:p>
    <w:p w:rsidR="00446B7C" w:rsidRDefault="00446B7C" w:rsidP="00446B7C">
      <w:pPr>
        <w:pStyle w:val="Heading1"/>
        <w:numPr>
          <w:ilvl w:val="0"/>
          <w:numId w:val="16"/>
        </w:numPr>
        <w:jc w:val="left"/>
        <w:rPr>
          <w:b w:val="0"/>
          <w:bCs w:val="0"/>
          <w:u w:val="none"/>
          <w:rtl/>
        </w:rPr>
      </w:pPr>
      <w:r>
        <w:rPr>
          <w:rFonts w:hint="cs"/>
          <w:b w:val="0"/>
          <w:bCs w:val="0"/>
          <w:u w:val="none"/>
          <w:rtl/>
        </w:rPr>
        <w:t xml:space="preserve"> صدّق اقتراح القانون الرامي إلى تعديل بعض أحكام قانون حماية المستهلك رقم 659 تاريخ 4/2/2005 كما عدلته لجنة الإدارة والعدل.</w:t>
      </w:r>
    </w:p>
    <w:p w:rsidR="00446B7C" w:rsidRPr="00446B7C" w:rsidRDefault="00446B7C" w:rsidP="00446B7C">
      <w:pPr>
        <w:rPr>
          <w:rtl/>
        </w:rPr>
      </w:pPr>
    </w:p>
    <w:p w:rsidR="00446B7C" w:rsidRPr="00446B7C" w:rsidRDefault="00446B7C" w:rsidP="00446B7C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Simplified Arabic" w:hAnsi="Simplified Arabic" w:cs="Simplified Arabic"/>
        </w:rPr>
      </w:pPr>
      <w:r w:rsidRPr="00446B7C">
        <w:rPr>
          <w:rFonts w:ascii="Simplified Arabic" w:hAnsi="Simplified Arabic" w:cs="Simplified Arabic"/>
          <w:sz w:val="28"/>
          <w:szCs w:val="28"/>
          <w:rtl/>
        </w:rPr>
        <w:t>يعمل بهذا القانون فور نشره في الجريدة الرسمية.</w:t>
      </w:r>
    </w:p>
    <w:p w:rsidR="00446B7C" w:rsidRPr="00446B7C" w:rsidRDefault="00446B7C" w:rsidP="00446B7C">
      <w:pPr>
        <w:pStyle w:val="ListParagraph"/>
        <w:rPr>
          <w:rFonts w:ascii="Simplified Arabic" w:hAnsi="Simplified Arabic" w:cs="Simplified Arabic"/>
          <w:rtl/>
        </w:rPr>
      </w:pPr>
    </w:p>
    <w:p w:rsidR="00446B7C" w:rsidRDefault="00446B7C" w:rsidP="00446B7C">
      <w:pPr>
        <w:rPr>
          <w:rFonts w:ascii="Simplified Arabic" w:hAnsi="Simplified Arabic"/>
          <w:b/>
          <w:bCs/>
          <w:sz w:val="28"/>
        </w:rPr>
      </w:pPr>
    </w:p>
    <w:p w:rsidR="00D76BFE" w:rsidRDefault="00D76BFE" w:rsidP="00446B7C">
      <w:pPr>
        <w:rPr>
          <w:rFonts w:ascii="Simplified Arabic" w:hAnsi="Simplified Arabic"/>
          <w:b/>
          <w:bCs/>
          <w:sz w:val="28"/>
        </w:rPr>
      </w:pPr>
    </w:p>
    <w:p w:rsidR="00D76BFE" w:rsidRDefault="00D76BFE" w:rsidP="00446B7C">
      <w:pPr>
        <w:rPr>
          <w:rFonts w:ascii="Simplified Arabic" w:hAnsi="Simplified Arabic"/>
          <w:b/>
          <w:bCs/>
          <w:sz w:val="28"/>
        </w:rPr>
      </w:pPr>
    </w:p>
    <w:p w:rsidR="00D76BFE" w:rsidRPr="00446B7C" w:rsidRDefault="00D76BFE" w:rsidP="00446B7C">
      <w:pPr>
        <w:rPr>
          <w:rtl/>
        </w:rPr>
      </w:pPr>
    </w:p>
    <w:p w:rsidR="00446B7C" w:rsidRPr="00446B7C" w:rsidRDefault="00446B7C" w:rsidP="00446B7C">
      <w:pPr>
        <w:rPr>
          <w:rtl/>
        </w:rPr>
      </w:pPr>
    </w:p>
    <w:p w:rsidR="00446B7C" w:rsidRDefault="00446B7C" w:rsidP="00D8279E">
      <w:pPr>
        <w:pStyle w:val="Heading1"/>
        <w:jc w:val="left"/>
        <w:rPr>
          <w:u w:val="none"/>
          <w:rtl/>
        </w:rPr>
      </w:pPr>
    </w:p>
    <w:p w:rsidR="00446B7C" w:rsidRDefault="00446B7C" w:rsidP="00D8279E">
      <w:pPr>
        <w:pStyle w:val="Heading1"/>
        <w:jc w:val="left"/>
        <w:rPr>
          <w:u w:val="none"/>
          <w:rtl/>
        </w:rPr>
      </w:pPr>
    </w:p>
    <w:p w:rsidR="00446B7C" w:rsidRDefault="00446B7C" w:rsidP="00D8279E">
      <w:pPr>
        <w:pStyle w:val="Heading1"/>
        <w:jc w:val="left"/>
        <w:rPr>
          <w:u w:val="none"/>
          <w:rtl/>
        </w:rPr>
      </w:pPr>
    </w:p>
    <w:p w:rsidR="00446B7C" w:rsidRDefault="00446B7C" w:rsidP="00D8279E">
      <w:pPr>
        <w:pStyle w:val="Heading1"/>
        <w:jc w:val="left"/>
        <w:rPr>
          <w:u w:val="none"/>
          <w:rtl/>
        </w:rPr>
      </w:pPr>
    </w:p>
    <w:p w:rsidR="00446B7C" w:rsidRDefault="00446B7C" w:rsidP="00D8279E">
      <w:pPr>
        <w:pStyle w:val="Heading1"/>
        <w:jc w:val="left"/>
        <w:rPr>
          <w:u w:val="none"/>
          <w:rtl/>
        </w:rPr>
      </w:pPr>
    </w:p>
    <w:p w:rsidR="00446B7C" w:rsidRDefault="00446B7C" w:rsidP="00D8279E">
      <w:pPr>
        <w:pStyle w:val="Heading1"/>
        <w:jc w:val="left"/>
        <w:rPr>
          <w:u w:val="none"/>
          <w:rtl/>
        </w:rPr>
      </w:pPr>
    </w:p>
    <w:p w:rsidR="00446B7C" w:rsidRDefault="00446B7C" w:rsidP="00D8279E">
      <w:pPr>
        <w:pStyle w:val="Heading1"/>
        <w:jc w:val="left"/>
        <w:rPr>
          <w:u w:val="none"/>
          <w:rtl/>
        </w:rPr>
      </w:pPr>
    </w:p>
    <w:p w:rsidR="00201ECB" w:rsidRDefault="00201ECB" w:rsidP="00201ECB">
      <w:pPr>
        <w:rPr>
          <w:rtl/>
        </w:rPr>
      </w:pPr>
    </w:p>
    <w:p w:rsidR="00201ECB" w:rsidRPr="00201ECB" w:rsidRDefault="00201ECB" w:rsidP="00201ECB"/>
    <w:p w:rsidR="00E0218D" w:rsidRPr="00E0218D" w:rsidRDefault="00E0218D" w:rsidP="00E0218D">
      <w:pPr>
        <w:rPr>
          <w:rtl/>
        </w:rPr>
      </w:pPr>
    </w:p>
    <w:p w:rsidR="00446B7C" w:rsidRDefault="00446B7C" w:rsidP="00D8279E">
      <w:pPr>
        <w:pStyle w:val="Heading1"/>
        <w:jc w:val="left"/>
        <w:rPr>
          <w:b w:val="0"/>
          <w:bCs w:val="0"/>
          <w:sz w:val="20"/>
          <w:u w:val="none"/>
          <w:rtl/>
        </w:rPr>
      </w:pPr>
    </w:p>
    <w:p w:rsidR="001863FE" w:rsidRDefault="001863FE" w:rsidP="001863FE"/>
    <w:p w:rsidR="00E2290C" w:rsidRPr="001863FE" w:rsidRDefault="00E2290C" w:rsidP="001863FE">
      <w:pPr>
        <w:rPr>
          <w:rtl/>
        </w:rPr>
      </w:pPr>
    </w:p>
    <w:p w:rsidR="00D8279E" w:rsidRPr="00E74CCB" w:rsidRDefault="00D8279E" w:rsidP="00D8279E">
      <w:pPr>
        <w:pStyle w:val="Heading1"/>
        <w:jc w:val="left"/>
        <w:rPr>
          <w:u w:val="none"/>
        </w:rPr>
      </w:pPr>
      <w:r w:rsidRPr="00E74CCB">
        <w:rPr>
          <w:u w:val="none"/>
          <w:rtl/>
        </w:rPr>
        <w:lastRenderedPageBreak/>
        <w:t>الجمهورية اللبنانية</w:t>
      </w:r>
    </w:p>
    <w:p w:rsidR="00D8279E" w:rsidRDefault="00D8279E" w:rsidP="00446B7C">
      <w:pPr>
        <w:bidi/>
        <w:jc w:val="both"/>
        <w:rPr>
          <w:b/>
          <w:bCs/>
          <w:sz w:val="28"/>
          <w:u w:val="single"/>
          <w:rtl/>
        </w:rPr>
      </w:pPr>
      <w:r>
        <w:rPr>
          <w:b/>
          <w:bCs/>
          <w:sz w:val="28"/>
          <w:rtl/>
        </w:rPr>
        <w:t xml:space="preserve">  </w:t>
      </w:r>
      <w:r>
        <w:rPr>
          <w:b/>
          <w:bCs/>
          <w:sz w:val="28"/>
          <w:u w:val="single"/>
          <w:rtl/>
        </w:rPr>
        <w:t>مجلس النواب</w:t>
      </w:r>
    </w:p>
    <w:p w:rsidR="00201ECB" w:rsidRPr="00446B7C" w:rsidRDefault="00201ECB" w:rsidP="00201ECB">
      <w:pPr>
        <w:bidi/>
        <w:jc w:val="both"/>
        <w:rPr>
          <w:b/>
          <w:bCs/>
          <w:sz w:val="28"/>
          <w:u w:val="single"/>
          <w:rtl/>
        </w:rPr>
      </w:pPr>
    </w:p>
    <w:p w:rsidR="00446B7C" w:rsidRPr="00E0218D" w:rsidRDefault="00E74CCB" w:rsidP="00446B7C">
      <w:pPr>
        <w:bidi/>
        <w:jc w:val="center"/>
        <w:rPr>
          <w:b/>
          <w:bCs/>
          <w:sz w:val="28"/>
          <w:rtl/>
        </w:rPr>
      </w:pPr>
      <w:r w:rsidRPr="00E0218D">
        <w:rPr>
          <w:b/>
          <w:bCs/>
          <w:sz w:val="28"/>
          <w:rtl/>
        </w:rPr>
        <w:t xml:space="preserve">قانون </w:t>
      </w:r>
    </w:p>
    <w:p w:rsidR="00E74CCB" w:rsidRPr="00E0218D" w:rsidRDefault="00E74CCB" w:rsidP="00446B7C">
      <w:pPr>
        <w:bidi/>
        <w:jc w:val="center"/>
        <w:rPr>
          <w:b/>
          <w:bCs/>
          <w:sz w:val="28"/>
        </w:rPr>
      </w:pPr>
      <w:r w:rsidRPr="00E0218D">
        <w:rPr>
          <w:b/>
          <w:bCs/>
          <w:sz w:val="28"/>
          <w:rtl/>
        </w:rPr>
        <w:t>تعديل بعض أحكام قانون حماية المستهلك</w:t>
      </w:r>
    </w:p>
    <w:p w:rsidR="00E74CCB" w:rsidRPr="00E0218D" w:rsidRDefault="00E74CCB" w:rsidP="00E74CCB">
      <w:pPr>
        <w:bidi/>
        <w:jc w:val="center"/>
        <w:rPr>
          <w:b/>
          <w:bCs/>
          <w:sz w:val="28"/>
          <w:rtl/>
        </w:rPr>
      </w:pPr>
      <w:r w:rsidRPr="00E0218D">
        <w:rPr>
          <w:b/>
          <w:bCs/>
          <w:sz w:val="28"/>
          <w:rtl/>
        </w:rPr>
        <w:t xml:space="preserve"> رقم 659 تاريخ 4/2/2005</w:t>
      </w:r>
    </w:p>
    <w:p w:rsidR="00446B7C" w:rsidRDefault="00446B7C" w:rsidP="00446B7C">
      <w:pPr>
        <w:bidi/>
        <w:jc w:val="both"/>
        <w:rPr>
          <w:b/>
          <w:bCs/>
          <w:sz w:val="28"/>
          <w:u w:val="single"/>
          <w:rtl/>
        </w:rPr>
      </w:pPr>
    </w:p>
    <w:p w:rsidR="00E74CCB" w:rsidRDefault="00E74CCB" w:rsidP="00446B7C">
      <w:pPr>
        <w:bidi/>
        <w:jc w:val="both"/>
        <w:rPr>
          <w:sz w:val="28"/>
          <w:rtl/>
        </w:rPr>
      </w:pPr>
      <w:r>
        <w:rPr>
          <w:b/>
          <w:bCs/>
          <w:sz w:val="28"/>
          <w:u w:val="single"/>
          <w:rtl/>
        </w:rPr>
        <w:t>المادة الأولى: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>يلغى نص المادة 13 من القانون رقم 659/2005 ويستعاض عنه بالنص الآتي:</w:t>
      </w:r>
    </w:p>
    <w:p w:rsidR="00201ECB" w:rsidRDefault="00446B7C" w:rsidP="00201ECB">
      <w:pPr>
        <w:bidi/>
        <w:ind w:left="720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b/>
          <w:bCs/>
          <w:sz w:val="28"/>
          <w:rtl/>
        </w:rPr>
        <w:t>«</w:t>
      </w:r>
      <w:r w:rsidR="00E74CCB">
        <w:rPr>
          <w:rFonts w:ascii="Simplified Arabic" w:hAnsi="Simplified Arabic"/>
          <w:sz w:val="28"/>
          <w:rtl/>
        </w:rPr>
        <w:t>على وزارة الإقتصاد والتجارة الطلب من المعلن تصحيح أو تعديل إعلانه وإعادة نشر التصحيح أو التعديل أو بثه عبر الوسائل التي استعمـلت لبث أو نشر الإعلان الخادع.</w:t>
      </w:r>
    </w:p>
    <w:p w:rsidR="00E74CCB" w:rsidRDefault="00E74CCB" w:rsidP="00201ECB">
      <w:pPr>
        <w:bidi/>
        <w:ind w:left="720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/>
          <w:sz w:val="28"/>
          <w:rtl/>
        </w:rPr>
        <w:t>يعود للمحكمة العالقة أمامها القضية أن تقرر عفواً، وقف بث الإعلان الخادع. يكون القرار المتخذ لهذه الجهة نافذاً على أصله.</w:t>
      </w:r>
    </w:p>
    <w:p w:rsidR="00E74CCB" w:rsidRDefault="00E74CCB" w:rsidP="00201ECB">
      <w:pPr>
        <w:bidi/>
        <w:ind w:firstLine="720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/>
          <w:sz w:val="28"/>
          <w:rtl/>
        </w:rPr>
        <w:t>يجوز للمرجع القضائي الذي اتخذ القرار الرجوع عنه</w:t>
      </w:r>
      <w:r w:rsidR="00446B7C">
        <w:rPr>
          <w:rFonts w:ascii="Simplified Arabic" w:hAnsi="Simplified Arabic" w:hint="cs"/>
          <w:sz w:val="28"/>
          <w:rtl/>
        </w:rPr>
        <w:t>».</w:t>
      </w:r>
    </w:p>
    <w:p w:rsidR="00121870" w:rsidRDefault="00121870" w:rsidP="00E74CCB">
      <w:pPr>
        <w:bidi/>
        <w:rPr>
          <w:szCs w:val="20"/>
          <w:rtl/>
        </w:rPr>
      </w:pPr>
    </w:p>
    <w:p w:rsidR="00E74CCB" w:rsidRDefault="00E74CCB" w:rsidP="00E74CCB">
      <w:pPr>
        <w:bidi/>
        <w:jc w:val="both"/>
        <w:rPr>
          <w:rFonts w:ascii="Calibri" w:hAnsi="Calibri"/>
          <w:sz w:val="28"/>
          <w:rtl/>
        </w:rPr>
      </w:pPr>
      <w:r>
        <w:rPr>
          <w:b/>
          <w:bCs/>
          <w:sz w:val="28"/>
          <w:u w:val="single"/>
          <w:rtl/>
        </w:rPr>
        <w:t>المادة الثانية: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>يلغى نص المادة 45 من القانون رقم 659/2005 ويستعاض عنه بالنص الآتي:</w:t>
      </w:r>
    </w:p>
    <w:p w:rsidR="00E74CCB" w:rsidRDefault="00446B7C" w:rsidP="00201ECB">
      <w:pPr>
        <w:bidi/>
        <w:ind w:left="720"/>
        <w:jc w:val="both"/>
        <w:rPr>
          <w:sz w:val="28"/>
          <w:rtl/>
        </w:rPr>
      </w:pPr>
      <w:r>
        <w:rPr>
          <w:rFonts w:hint="cs"/>
          <w:sz w:val="28"/>
          <w:rtl/>
        </w:rPr>
        <w:t>«</w:t>
      </w:r>
      <w:r w:rsidR="00E74CCB">
        <w:rPr>
          <w:sz w:val="28"/>
          <w:rtl/>
        </w:rPr>
        <w:t>على وزارة الإقتصاد والتجارة، في حال ثبُت لديها معلومات علمية من جهة دولية أو محلية معترف بمرجعيتها رسمياً، حول خطر على الصحة</w:t>
      </w:r>
      <w:r w:rsidR="001863FE">
        <w:rPr>
          <w:sz w:val="28"/>
          <w:rtl/>
        </w:rPr>
        <w:t xml:space="preserve"> أو السلامة العامة  قد ينتج عن </w:t>
      </w:r>
      <w:r w:rsidR="001863FE">
        <w:rPr>
          <w:rFonts w:hint="cs"/>
          <w:sz w:val="28"/>
          <w:rtl/>
        </w:rPr>
        <w:t>ا</w:t>
      </w:r>
      <w:r w:rsidR="00E74CCB">
        <w:rPr>
          <w:sz w:val="28"/>
          <w:rtl/>
        </w:rPr>
        <w:t>ستعمال أو استهلاك سلعة أو خدمة معينة، سواء كان هذا الخطر حاصلاً أو متوقعاً، إعلام الجمهور عن ا</w:t>
      </w:r>
      <w:r w:rsidR="001863FE">
        <w:rPr>
          <w:sz w:val="28"/>
          <w:rtl/>
        </w:rPr>
        <w:t xml:space="preserve">لمخاطر وإجراءات الوقاية الواجب </w:t>
      </w:r>
      <w:r w:rsidR="001863FE">
        <w:rPr>
          <w:rFonts w:hint="cs"/>
          <w:sz w:val="28"/>
          <w:rtl/>
        </w:rPr>
        <w:t>ا</w:t>
      </w:r>
      <w:r w:rsidR="00E74CCB">
        <w:rPr>
          <w:sz w:val="28"/>
          <w:rtl/>
        </w:rPr>
        <w:t>تباعها، وفي هذه الحالة على وزير الإقتصاد والتجارة، أن يحدد، بموجب قرارات تصدر عنه، الإجراءات الآيلة إلى الحفاظ على الصحة والسلامة العامة، ومنها:</w:t>
      </w:r>
    </w:p>
    <w:p w:rsidR="00E74CCB" w:rsidRDefault="001863FE" w:rsidP="00201ECB">
      <w:pPr>
        <w:bidi/>
        <w:ind w:left="72" w:firstLine="648"/>
        <w:jc w:val="both"/>
        <w:rPr>
          <w:sz w:val="28"/>
          <w:rtl/>
        </w:rPr>
      </w:pPr>
      <w:r>
        <w:rPr>
          <w:sz w:val="28"/>
          <w:rtl/>
        </w:rPr>
        <w:t xml:space="preserve">منع </w:t>
      </w:r>
      <w:r>
        <w:rPr>
          <w:rFonts w:hint="cs"/>
          <w:sz w:val="28"/>
          <w:rtl/>
        </w:rPr>
        <w:t>ا</w:t>
      </w:r>
      <w:r w:rsidR="00E74CCB">
        <w:rPr>
          <w:sz w:val="28"/>
          <w:rtl/>
        </w:rPr>
        <w:t>ستيراد أو تصدير السلعة في الحالات الطارئة.</w:t>
      </w:r>
    </w:p>
    <w:p w:rsidR="00E74CCB" w:rsidRDefault="001863FE" w:rsidP="00201ECB">
      <w:pPr>
        <w:bidi/>
        <w:ind w:left="72" w:firstLine="648"/>
        <w:jc w:val="both"/>
        <w:rPr>
          <w:sz w:val="28"/>
          <w:rtl/>
        </w:rPr>
      </w:pPr>
      <w:r>
        <w:rPr>
          <w:sz w:val="28"/>
          <w:rtl/>
        </w:rPr>
        <w:t xml:space="preserve">تحديد شروط خاصة </w:t>
      </w:r>
      <w:r>
        <w:rPr>
          <w:rFonts w:hint="cs"/>
          <w:sz w:val="28"/>
          <w:rtl/>
        </w:rPr>
        <w:t>لا</w:t>
      </w:r>
      <w:r w:rsidR="00E74CCB">
        <w:rPr>
          <w:sz w:val="28"/>
          <w:rtl/>
        </w:rPr>
        <w:t>ستيراد السلعة أو تصديرها.</w:t>
      </w:r>
    </w:p>
    <w:p w:rsidR="00E74CCB" w:rsidRDefault="00E74CCB" w:rsidP="00201ECB">
      <w:pPr>
        <w:bidi/>
        <w:ind w:left="72" w:firstLine="648"/>
        <w:jc w:val="both"/>
        <w:rPr>
          <w:sz w:val="28"/>
          <w:rtl/>
        </w:rPr>
      </w:pPr>
      <w:r>
        <w:rPr>
          <w:sz w:val="28"/>
          <w:rtl/>
        </w:rPr>
        <w:t>منع التداول بالسلعة أو الخدمة.</w:t>
      </w:r>
    </w:p>
    <w:p w:rsidR="00E74CCB" w:rsidRDefault="00E74CCB" w:rsidP="00201ECB">
      <w:pPr>
        <w:bidi/>
        <w:ind w:left="72" w:firstLine="648"/>
        <w:jc w:val="both"/>
        <w:rPr>
          <w:sz w:val="28"/>
          <w:rtl/>
        </w:rPr>
      </w:pPr>
      <w:r>
        <w:rPr>
          <w:sz w:val="28"/>
          <w:rtl/>
        </w:rPr>
        <w:t>سحب السلعة من التداول، على أن يتم ذلك على نفقة المحترف أو المصنع.</w:t>
      </w:r>
    </w:p>
    <w:p w:rsidR="00E74CCB" w:rsidRDefault="00E74CCB" w:rsidP="00201ECB">
      <w:pPr>
        <w:bidi/>
        <w:ind w:left="720"/>
        <w:jc w:val="both"/>
        <w:rPr>
          <w:sz w:val="28"/>
          <w:rtl/>
        </w:rPr>
      </w:pPr>
      <w:r>
        <w:rPr>
          <w:sz w:val="28"/>
          <w:rtl/>
        </w:rPr>
        <w:t>إتلاف السلعة على نفقة المحترف والمصنع، بالتكافل والتضامن فيما بينهما، إ</w:t>
      </w:r>
      <w:r w:rsidR="001863FE">
        <w:rPr>
          <w:sz w:val="28"/>
          <w:rtl/>
        </w:rPr>
        <w:t>ذا كان هذا الإجراء يشكل الوسيلة</w:t>
      </w:r>
      <w:r w:rsidR="001863FE">
        <w:rPr>
          <w:rFonts w:hint="cs"/>
          <w:sz w:val="28"/>
          <w:rtl/>
        </w:rPr>
        <w:t xml:space="preserve"> </w:t>
      </w:r>
      <w:r>
        <w:rPr>
          <w:sz w:val="28"/>
          <w:rtl/>
        </w:rPr>
        <w:t>الوحيدة للحفاظ على الصحة والسلامة العامة.</w:t>
      </w:r>
    </w:p>
    <w:p w:rsidR="00E74CCB" w:rsidRDefault="00E74CCB" w:rsidP="00201ECB">
      <w:pPr>
        <w:bidi/>
        <w:ind w:left="720"/>
        <w:jc w:val="both"/>
        <w:rPr>
          <w:sz w:val="28"/>
          <w:rtl/>
        </w:rPr>
      </w:pPr>
      <w:r>
        <w:rPr>
          <w:sz w:val="28"/>
          <w:rtl/>
        </w:rPr>
        <w:t>يعلن عن هذه القرارات عبر وسائل الإعلام وتبل</w:t>
      </w:r>
      <w:r w:rsidR="001863FE">
        <w:rPr>
          <w:rFonts w:hint="cs"/>
          <w:sz w:val="28"/>
          <w:rtl/>
        </w:rPr>
        <w:t>ّ</w:t>
      </w:r>
      <w:r>
        <w:rPr>
          <w:sz w:val="28"/>
          <w:rtl/>
        </w:rPr>
        <w:t>غ إلى مجلس الوزراء للمصادقة عليها.</w:t>
      </w:r>
    </w:p>
    <w:p w:rsidR="00E74CCB" w:rsidRDefault="00E74CCB" w:rsidP="00201ECB">
      <w:pPr>
        <w:bidi/>
        <w:ind w:left="720"/>
        <w:jc w:val="both"/>
        <w:rPr>
          <w:sz w:val="28"/>
          <w:rtl/>
        </w:rPr>
      </w:pPr>
      <w:r>
        <w:rPr>
          <w:sz w:val="28"/>
          <w:rtl/>
        </w:rPr>
        <w:t>أما في الظروف العادية في</w:t>
      </w:r>
      <w:r w:rsidR="001863FE">
        <w:rPr>
          <w:sz w:val="28"/>
          <w:rtl/>
        </w:rPr>
        <w:t xml:space="preserve">جب أخذ موافقة مجلس الوزراء قبل </w:t>
      </w:r>
      <w:r w:rsidR="001863FE">
        <w:rPr>
          <w:rFonts w:hint="cs"/>
          <w:sz w:val="28"/>
          <w:rtl/>
        </w:rPr>
        <w:t>ا</w:t>
      </w:r>
      <w:r>
        <w:rPr>
          <w:sz w:val="28"/>
          <w:rtl/>
        </w:rPr>
        <w:t>تخاذ قرا</w:t>
      </w:r>
      <w:r w:rsidR="001863FE">
        <w:rPr>
          <w:sz w:val="28"/>
          <w:rtl/>
        </w:rPr>
        <w:t xml:space="preserve">ر بمنع </w:t>
      </w:r>
      <w:r w:rsidR="001863FE">
        <w:rPr>
          <w:rFonts w:hint="cs"/>
          <w:sz w:val="28"/>
          <w:rtl/>
        </w:rPr>
        <w:t>ا</w:t>
      </w:r>
      <w:r w:rsidR="001863FE">
        <w:rPr>
          <w:sz w:val="28"/>
          <w:rtl/>
        </w:rPr>
        <w:t>ستيراد أو تصدير السلعة</w:t>
      </w:r>
      <w:r w:rsidR="00446B7C">
        <w:rPr>
          <w:rFonts w:hint="cs"/>
          <w:sz w:val="28"/>
          <w:rtl/>
        </w:rPr>
        <w:t>»</w:t>
      </w:r>
      <w:r w:rsidR="001863FE">
        <w:rPr>
          <w:rFonts w:hint="cs"/>
          <w:sz w:val="28"/>
          <w:rtl/>
        </w:rPr>
        <w:t>.</w:t>
      </w:r>
    </w:p>
    <w:p w:rsidR="00E74CCB" w:rsidRDefault="00E74CCB" w:rsidP="00E74CCB">
      <w:pPr>
        <w:bidi/>
        <w:rPr>
          <w:szCs w:val="20"/>
          <w:rtl/>
        </w:rPr>
      </w:pPr>
    </w:p>
    <w:p w:rsidR="00E74CCB" w:rsidRDefault="00E74CCB" w:rsidP="00E74CCB">
      <w:pPr>
        <w:bidi/>
        <w:rPr>
          <w:szCs w:val="20"/>
          <w:rtl/>
        </w:rPr>
      </w:pPr>
    </w:p>
    <w:p w:rsidR="00E74CCB" w:rsidRDefault="00E74CCB" w:rsidP="00E74CCB">
      <w:pPr>
        <w:bidi/>
        <w:jc w:val="both"/>
        <w:rPr>
          <w:sz w:val="28"/>
          <w:rtl/>
        </w:rPr>
      </w:pPr>
      <w:r>
        <w:rPr>
          <w:b/>
          <w:bCs/>
          <w:sz w:val="28"/>
          <w:u w:val="single"/>
          <w:rtl/>
        </w:rPr>
        <w:lastRenderedPageBreak/>
        <w:t>المادة الثالثة: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>يلغى نص المادة 74 من القانون رقم 659/2005 ويستعاض عنه بالنص الآتي:</w:t>
      </w:r>
    </w:p>
    <w:p w:rsidR="00201ECB" w:rsidRDefault="00446B7C" w:rsidP="00201ECB">
      <w:pPr>
        <w:bidi/>
        <w:ind w:left="720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>«</w:t>
      </w:r>
      <w:r w:rsidR="00E74CCB">
        <w:rPr>
          <w:rFonts w:ascii="Simplified Arabic" w:hAnsi="Simplified Arabic"/>
          <w:sz w:val="28"/>
          <w:rtl/>
        </w:rPr>
        <w:t>على الموظفين المذكورين في المادة</w:t>
      </w:r>
      <w:r>
        <w:rPr>
          <w:rFonts w:ascii="Simplified Arabic" w:hAnsi="Simplified Arabic" w:hint="cs"/>
          <w:sz w:val="28"/>
          <w:rtl/>
        </w:rPr>
        <w:t xml:space="preserve"> </w:t>
      </w:r>
      <w:r w:rsidR="00E74CCB">
        <w:rPr>
          <w:rFonts w:ascii="Simplified Arabic" w:hAnsi="Simplified Arabic"/>
          <w:sz w:val="28"/>
          <w:rtl/>
        </w:rPr>
        <w:t>71 من هذا القانون، عند قيامهم بمهامهم، أن</w:t>
      </w:r>
      <w:r w:rsidR="00201ECB">
        <w:rPr>
          <w:rFonts w:ascii="Simplified Arabic" w:hAnsi="Simplified Arabic"/>
          <w:sz w:val="28"/>
          <w:rtl/>
        </w:rPr>
        <w:t xml:space="preserve"> يتخذوا أياً من الإجراءات ا</w:t>
      </w:r>
      <w:r w:rsidR="00201ECB">
        <w:rPr>
          <w:rFonts w:ascii="Simplified Arabic" w:hAnsi="Simplified Arabic" w:hint="cs"/>
          <w:sz w:val="28"/>
          <w:rtl/>
        </w:rPr>
        <w:t>لآتي</w:t>
      </w:r>
      <w:r w:rsidR="00E74CCB">
        <w:rPr>
          <w:rFonts w:ascii="Simplified Arabic" w:hAnsi="Simplified Arabic"/>
          <w:sz w:val="28"/>
          <w:rtl/>
        </w:rPr>
        <w:t>ة:</w:t>
      </w:r>
    </w:p>
    <w:p w:rsidR="00E74CCB" w:rsidRDefault="00E74CCB" w:rsidP="00201ECB">
      <w:pPr>
        <w:bidi/>
        <w:ind w:left="720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/>
          <w:sz w:val="28"/>
          <w:rtl/>
        </w:rPr>
        <w:t>حجز الأوراق المنصوص عليها في المادة 73 التي تثبت حصول المخالفة أو التي تتيح كشف كافة الأشخاص الذين اشتركوا في ارتكابها وعليهم في هذه الحالة، تسليم صاحب العلاقة إيصالاً بذلك.</w:t>
      </w:r>
    </w:p>
    <w:p w:rsidR="00E74CCB" w:rsidRDefault="00E74CCB" w:rsidP="00201ECB">
      <w:pPr>
        <w:bidi/>
        <w:ind w:left="720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/>
          <w:sz w:val="28"/>
          <w:rtl/>
        </w:rPr>
        <w:t>حجز السلع التي يتبين أنها مزيفة أو سامة أو غير صالحة للإستهلاك أو غير مطابقة للمواصفات المعتمدة أو التي تعرض صحة المستهلك وسلامته للخطر.</w:t>
      </w:r>
    </w:p>
    <w:p w:rsidR="00E74CCB" w:rsidRDefault="00E74CCB" w:rsidP="00201ECB">
      <w:pPr>
        <w:bidi/>
        <w:ind w:left="720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/>
          <w:sz w:val="28"/>
          <w:rtl/>
        </w:rPr>
        <w:t>وفي هذه الحالة تبقى السلعة تحت حراسة الأشخاص الذين يحوزون عليها وذلك لغاية صدور نتائج التحاليل أو المراقبة، على أ</w:t>
      </w:r>
      <w:r w:rsidR="001863FE">
        <w:rPr>
          <w:rFonts w:ascii="Simplified Arabic" w:hAnsi="Simplified Arabic"/>
          <w:sz w:val="28"/>
          <w:rtl/>
        </w:rPr>
        <w:t>لا تتجاوز مدة الحجز 45 يوماً</w:t>
      </w:r>
      <w:r w:rsidR="00446B7C">
        <w:rPr>
          <w:rFonts w:ascii="Simplified Arabic" w:hAnsi="Simplified Arabic" w:hint="cs"/>
          <w:sz w:val="28"/>
          <w:rtl/>
        </w:rPr>
        <w:t>»</w:t>
      </w:r>
      <w:r w:rsidR="001863FE">
        <w:rPr>
          <w:rFonts w:ascii="Simplified Arabic" w:hAnsi="Simplified Arabic" w:hint="cs"/>
          <w:sz w:val="28"/>
          <w:rtl/>
        </w:rPr>
        <w:t>.</w:t>
      </w:r>
    </w:p>
    <w:p w:rsidR="00E74CCB" w:rsidRDefault="00E74CCB" w:rsidP="00E74CCB">
      <w:pPr>
        <w:bidi/>
        <w:jc w:val="both"/>
        <w:rPr>
          <w:b/>
          <w:bCs/>
          <w:sz w:val="28"/>
          <w:u w:val="single"/>
          <w:rtl/>
        </w:rPr>
      </w:pPr>
    </w:p>
    <w:p w:rsidR="00E74CCB" w:rsidRDefault="00E74CCB" w:rsidP="00E74CCB">
      <w:pPr>
        <w:bidi/>
        <w:jc w:val="both"/>
        <w:rPr>
          <w:rFonts w:ascii="Calibri" w:hAnsi="Calibri"/>
          <w:sz w:val="28"/>
          <w:rtl/>
        </w:rPr>
      </w:pPr>
      <w:r>
        <w:rPr>
          <w:b/>
          <w:bCs/>
          <w:sz w:val="28"/>
          <w:u w:val="single"/>
          <w:rtl/>
        </w:rPr>
        <w:t>المادة الرابعة: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>يلغى نص المادة 75 من القانون رقم 659/2005 ويستعاض عنه بالنص الآتي:</w:t>
      </w:r>
    </w:p>
    <w:p w:rsidR="00201ECB" w:rsidRDefault="00446B7C" w:rsidP="00201ECB">
      <w:pPr>
        <w:bidi/>
        <w:ind w:left="720"/>
        <w:jc w:val="both"/>
        <w:rPr>
          <w:sz w:val="28"/>
          <w:rtl/>
        </w:rPr>
      </w:pPr>
      <w:r>
        <w:rPr>
          <w:rFonts w:hint="cs"/>
          <w:sz w:val="28"/>
          <w:rtl/>
        </w:rPr>
        <w:t>«</w:t>
      </w:r>
      <w:r w:rsidR="00E74CCB">
        <w:rPr>
          <w:sz w:val="28"/>
          <w:rtl/>
        </w:rPr>
        <w:t>يتوجب على الموظفين المذكورين في المادة 71 من هذا القانون، وبناءً على إذن خطي من النيابة العامة المختصة:</w:t>
      </w:r>
    </w:p>
    <w:p w:rsidR="00E74CCB" w:rsidRDefault="00E74CCB" w:rsidP="00201ECB">
      <w:pPr>
        <w:bidi/>
        <w:ind w:left="720"/>
        <w:jc w:val="both"/>
        <w:rPr>
          <w:sz w:val="28"/>
          <w:rtl/>
        </w:rPr>
      </w:pPr>
      <w:r>
        <w:rPr>
          <w:sz w:val="28"/>
          <w:rtl/>
        </w:rPr>
        <w:t>1-    حجز المواد والآلات والمعدات التي استعملت لتصنيع وجمع وتوضيب سلع مغشوشة أو غير مطابقة للمواصفات المعتمدة أو تعر</w:t>
      </w:r>
      <w:r w:rsidR="001863FE">
        <w:rPr>
          <w:rFonts w:hint="cs"/>
          <w:sz w:val="28"/>
          <w:rtl/>
        </w:rPr>
        <w:t>ّ</w:t>
      </w:r>
      <w:r>
        <w:rPr>
          <w:sz w:val="28"/>
          <w:rtl/>
        </w:rPr>
        <w:t>ض صحة المستهلك وسلامته للخطر.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>2-  إقفال المكان بالشمع الأحمر وإحالة الملف إلى القضاء بعد إجراء التحقيقات اللازمة.</w:t>
      </w:r>
    </w:p>
    <w:p w:rsidR="00E74CCB" w:rsidRDefault="00E74CCB" w:rsidP="00201ECB">
      <w:pPr>
        <w:bidi/>
        <w:ind w:left="720"/>
        <w:jc w:val="both"/>
        <w:rPr>
          <w:sz w:val="28"/>
          <w:rtl/>
        </w:rPr>
      </w:pPr>
      <w:r>
        <w:rPr>
          <w:rFonts w:ascii="Simplified Arabic" w:hAnsi="Simplified Arabic"/>
          <w:sz w:val="28"/>
          <w:rtl/>
        </w:rPr>
        <w:t>إن المواد والآلات والمعدات المشار إليها أعلاه تبقى مودعة لدى الشخص الذي وجدت بحوزته وتحت حراسته ما لم تنقل إلى مكان يحدده الموظفون المنظمون للمحضر</w:t>
      </w:r>
      <w:r w:rsidR="00446B7C">
        <w:rPr>
          <w:rFonts w:hint="cs"/>
          <w:sz w:val="28"/>
          <w:rtl/>
        </w:rPr>
        <w:t>»</w:t>
      </w:r>
      <w:r w:rsidR="001863FE">
        <w:rPr>
          <w:rFonts w:hint="cs"/>
          <w:sz w:val="28"/>
          <w:rtl/>
        </w:rPr>
        <w:t>.</w:t>
      </w:r>
    </w:p>
    <w:p w:rsidR="00E74CCB" w:rsidRDefault="00E74CCB" w:rsidP="00E74CCB">
      <w:pPr>
        <w:bidi/>
        <w:rPr>
          <w:szCs w:val="20"/>
          <w:rtl/>
        </w:rPr>
      </w:pPr>
    </w:p>
    <w:p w:rsidR="00E74CCB" w:rsidRDefault="00E74CCB" w:rsidP="00E74CCB">
      <w:pPr>
        <w:bidi/>
        <w:jc w:val="both"/>
        <w:rPr>
          <w:sz w:val="28"/>
          <w:rtl/>
        </w:rPr>
      </w:pPr>
      <w:r>
        <w:rPr>
          <w:b/>
          <w:bCs/>
          <w:sz w:val="28"/>
          <w:u w:val="single"/>
          <w:rtl/>
        </w:rPr>
        <w:t>المادة الخامسة: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>يلغى نص المادة 76 من القانون رقم 659/2005 ويستعاض عنه بالنص الآتي:</w:t>
      </w:r>
    </w:p>
    <w:p w:rsidR="00201ECB" w:rsidRDefault="00446B7C" w:rsidP="00201ECB">
      <w:pPr>
        <w:bidi/>
        <w:ind w:left="720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>«</w:t>
      </w:r>
      <w:r w:rsidR="00E74CCB">
        <w:rPr>
          <w:rFonts w:ascii="Simplified Arabic" w:hAnsi="Simplified Arabic"/>
          <w:sz w:val="28"/>
          <w:rtl/>
        </w:rPr>
        <w:t>يجب إتلاف السلعة التي ثبت أنها سامة أو</w:t>
      </w:r>
      <w:r w:rsidR="001863FE">
        <w:rPr>
          <w:rFonts w:ascii="Simplified Arabic" w:hAnsi="Simplified Arabic"/>
          <w:sz w:val="28"/>
          <w:rtl/>
        </w:rPr>
        <w:t xml:space="preserve"> غير صالحة للاستهلاك، كما يجوز </w:t>
      </w:r>
      <w:r w:rsidR="001863FE">
        <w:rPr>
          <w:rFonts w:ascii="Simplified Arabic" w:hAnsi="Simplified Arabic" w:hint="cs"/>
          <w:sz w:val="28"/>
          <w:rtl/>
        </w:rPr>
        <w:t>إ</w:t>
      </w:r>
      <w:r w:rsidR="00E74CCB">
        <w:rPr>
          <w:rFonts w:ascii="Simplified Arabic" w:hAnsi="Simplified Arabic"/>
          <w:sz w:val="28"/>
          <w:rtl/>
        </w:rPr>
        <w:t>تلاف السلعة التي ثبت أنها مزيفة، وفي كلتا الحالتين تتم عملية التلف على نفقة صاحب العلاقة، بعد الإستحصال على إذ</w:t>
      </w:r>
      <w:r w:rsidR="001863FE">
        <w:rPr>
          <w:rFonts w:ascii="Simplified Arabic" w:hAnsi="Simplified Arabic"/>
          <w:sz w:val="28"/>
          <w:rtl/>
        </w:rPr>
        <w:t>ن خطي من النيابة العامة المختصة</w:t>
      </w:r>
    </w:p>
    <w:p w:rsidR="00201ECB" w:rsidRDefault="00201ECB" w:rsidP="00201ECB">
      <w:pPr>
        <w:bidi/>
        <w:ind w:left="720"/>
        <w:jc w:val="both"/>
        <w:rPr>
          <w:rFonts w:ascii="Simplified Arabic" w:hAnsi="Simplified Arabic"/>
          <w:sz w:val="28"/>
          <w:rtl/>
        </w:rPr>
      </w:pPr>
    </w:p>
    <w:p w:rsidR="00E74CCB" w:rsidRDefault="00201ECB" w:rsidP="00201ECB">
      <w:pPr>
        <w:bidi/>
        <w:ind w:firstLine="720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>تحدد عند الاقتضاء شروط وإجراءات التلف بقرارات تصدر عن وزير الاقتصاد والتجارة</w:t>
      </w:r>
      <w:r w:rsidR="00446B7C">
        <w:rPr>
          <w:rFonts w:ascii="Simplified Arabic" w:hAnsi="Simplified Arabic" w:hint="cs"/>
          <w:sz w:val="28"/>
          <w:rtl/>
        </w:rPr>
        <w:t>»</w:t>
      </w:r>
      <w:r w:rsidR="001863FE">
        <w:rPr>
          <w:rFonts w:ascii="Simplified Arabic" w:hAnsi="Simplified Arabic" w:hint="cs"/>
          <w:sz w:val="28"/>
          <w:rtl/>
        </w:rPr>
        <w:t>.</w:t>
      </w:r>
    </w:p>
    <w:p w:rsidR="00E74CCB" w:rsidRDefault="00E74CCB" w:rsidP="00E74CCB">
      <w:pPr>
        <w:bidi/>
        <w:jc w:val="both"/>
        <w:rPr>
          <w:b/>
          <w:bCs/>
          <w:sz w:val="28"/>
          <w:u w:val="single"/>
          <w:rtl/>
        </w:rPr>
      </w:pPr>
    </w:p>
    <w:p w:rsidR="00201ECB" w:rsidRDefault="00201ECB" w:rsidP="00201ECB">
      <w:pPr>
        <w:bidi/>
        <w:jc w:val="both"/>
        <w:rPr>
          <w:b/>
          <w:bCs/>
          <w:sz w:val="28"/>
          <w:u w:val="single"/>
          <w:rtl/>
        </w:rPr>
      </w:pPr>
    </w:p>
    <w:p w:rsidR="00201ECB" w:rsidRDefault="00201ECB" w:rsidP="00201ECB">
      <w:pPr>
        <w:bidi/>
        <w:jc w:val="both"/>
        <w:rPr>
          <w:b/>
          <w:bCs/>
          <w:sz w:val="28"/>
          <w:u w:val="single"/>
          <w:rtl/>
        </w:rPr>
      </w:pPr>
    </w:p>
    <w:p w:rsidR="00E74CCB" w:rsidRDefault="00E74CCB" w:rsidP="00E74CCB">
      <w:pPr>
        <w:bidi/>
        <w:jc w:val="both"/>
        <w:rPr>
          <w:rFonts w:ascii="Calibri" w:hAnsi="Calibri"/>
          <w:sz w:val="28"/>
          <w:rtl/>
        </w:rPr>
      </w:pPr>
      <w:r>
        <w:rPr>
          <w:b/>
          <w:bCs/>
          <w:sz w:val="28"/>
          <w:u w:val="single"/>
          <w:rtl/>
        </w:rPr>
        <w:lastRenderedPageBreak/>
        <w:t>المادة السادسة: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>يلغى نص المادة 97 من القانون رقم 659/2005 ويستعاض عنه بالنص الآتي:</w:t>
      </w:r>
    </w:p>
    <w:p w:rsidR="00E74CCB" w:rsidRDefault="00446B7C" w:rsidP="00201ECB">
      <w:pPr>
        <w:bidi/>
        <w:ind w:left="720"/>
        <w:jc w:val="both"/>
        <w:rPr>
          <w:sz w:val="28"/>
          <w:rtl/>
        </w:rPr>
      </w:pPr>
      <w:r>
        <w:rPr>
          <w:rFonts w:hint="cs"/>
          <w:sz w:val="28"/>
          <w:rtl/>
        </w:rPr>
        <w:t>«</w:t>
      </w:r>
      <w:r w:rsidR="00E74CCB">
        <w:rPr>
          <w:sz w:val="28"/>
          <w:rtl/>
        </w:rPr>
        <w:t xml:space="preserve">تنشأ لجنة لحل النزاعات أو أكثر، للنظر في الخلافات المنصوص عليها في المادة 98 من هذا القانون. </w:t>
      </w:r>
    </w:p>
    <w:p w:rsidR="00E74CCB" w:rsidRDefault="00E74CCB" w:rsidP="00201ECB">
      <w:pPr>
        <w:bidi/>
        <w:ind w:left="720"/>
        <w:jc w:val="both"/>
        <w:rPr>
          <w:sz w:val="28"/>
          <w:rtl/>
        </w:rPr>
      </w:pPr>
      <w:r>
        <w:rPr>
          <w:sz w:val="28"/>
          <w:rtl/>
        </w:rPr>
        <w:t>تؤلف هذه اللجان من قاضي شرف أو قاضٍ من الدرجة السادسة فما فوق، رئيساً وعضوية ممثل عن غرف التجارة والصناعة والزراعة وممثل عن جميعات حماية المستهلك.</w:t>
      </w:r>
    </w:p>
    <w:p w:rsidR="00201ECB" w:rsidRDefault="001863FE" w:rsidP="00201ECB">
      <w:pPr>
        <w:bidi/>
        <w:ind w:left="720"/>
        <w:jc w:val="both"/>
        <w:rPr>
          <w:sz w:val="28"/>
          <w:rtl/>
        </w:rPr>
      </w:pPr>
      <w:r>
        <w:rPr>
          <w:sz w:val="28"/>
          <w:rtl/>
        </w:rPr>
        <w:t xml:space="preserve">خلال فترة </w:t>
      </w:r>
      <w:r>
        <w:rPr>
          <w:rFonts w:hint="cs"/>
          <w:sz w:val="28"/>
          <w:rtl/>
        </w:rPr>
        <w:t>ا</w:t>
      </w:r>
      <w:r w:rsidR="00E74CCB">
        <w:rPr>
          <w:sz w:val="28"/>
          <w:rtl/>
        </w:rPr>
        <w:t xml:space="preserve">نتقالية لا تتجاوز الستة أشهر، ولحين تشكيل اللجان المذكورة أعلاه، ينظر في هذه الخلافات قاضي شرف أو قاضٍ من الدرجة السادسة فما </w:t>
      </w:r>
      <w:r>
        <w:rPr>
          <w:sz w:val="28"/>
          <w:rtl/>
        </w:rPr>
        <w:t xml:space="preserve">فوق يعين بمرسوم يصدر بناءً على </w:t>
      </w:r>
      <w:r>
        <w:rPr>
          <w:rFonts w:hint="cs"/>
          <w:sz w:val="28"/>
          <w:rtl/>
        </w:rPr>
        <w:t>ا</w:t>
      </w:r>
      <w:r w:rsidR="00E74CCB">
        <w:rPr>
          <w:sz w:val="28"/>
          <w:rtl/>
        </w:rPr>
        <w:t>قتراح وزير العدل، بعد موافقة مجلس القضاء الأعلى.</w:t>
      </w:r>
    </w:p>
    <w:p w:rsidR="00E74CCB" w:rsidRDefault="00E74CCB" w:rsidP="00201ECB">
      <w:pPr>
        <w:bidi/>
        <w:ind w:left="720"/>
        <w:jc w:val="both"/>
        <w:rPr>
          <w:sz w:val="28"/>
          <w:rtl/>
        </w:rPr>
      </w:pPr>
      <w:r>
        <w:rPr>
          <w:sz w:val="28"/>
          <w:rtl/>
        </w:rPr>
        <w:t>يعيّن القضاة رؤساء</w:t>
      </w:r>
      <w:r w:rsidR="001863FE">
        <w:rPr>
          <w:sz w:val="28"/>
          <w:rtl/>
        </w:rPr>
        <w:t xml:space="preserve"> اللجان بمراسيم تصدر بناءً على </w:t>
      </w:r>
      <w:r w:rsidR="001863FE">
        <w:rPr>
          <w:rFonts w:hint="cs"/>
          <w:sz w:val="28"/>
          <w:rtl/>
        </w:rPr>
        <w:t>ا</w:t>
      </w:r>
      <w:r>
        <w:rPr>
          <w:sz w:val="28"/>
          <w:rtl/>
        </w:rPr>
        <w:t>قتراح وزير العدل، بعد موافقة مجلس القضاء الأعلى، ويعيّن أعضاء اللجان بمراسيم تصدر عن مجلس الوزراء بناءً على</w:t>
      </w:r>
      <w:r w:rsidR="001863FE">
        <w:rPr>
          <w:sz w:val="28"/>
          <w:rtl/>
        </w:rPr>
        <w:t xml:space="preserve"> </w:t>
      </w:r>
      <w:r w:rsidR="001863FE">
        <w:rPr>
          <w:rFonts w:hint="cs"/>
          <w:sz w:val="28"/>
          <w:rtl/>
        </w:rPr>
        <w:t>ا</w:t>
      </w:r>
      <w:r w:rsidR="00446B7C">
        <w:rPr>
          <w:sz w:val="28"/>
          <w:rtl/>
        </w:rPr>
        <w:t>قتراح وزير الإقتصاد والتجارة</w:t>
      </w:r>
      <w:r w:rsidR="00446B7C">
        <w:rPr>
          <w:rFonts w:hint="cs"/>
          <w:sz w:val="28"/>
          <w:rtl/>
        </w:rPr>
        <w:t>»</w:t>
      </w:r>
      <w:r w:rsidR="001863FE">
        <w:rPr>
          <w:rFonts w:hint="cs"/>
          <w:sz w:val="28"/>
          <w:rtl/>
        </w:rPr>
        <w:t>.</w:t>
      </w:r>
    </w:p>
    <w:p w:rsidR="00E74CCB" w:rsidRDefault="00E74CCB" w:rsidP="00E74CCB">
      <w:pPr>
        <w:bidi/>
        <w:jc w:val="both"/>
        <w:rPr>
          <w:b/>
          <w:bCs/>
          <w:sz w:val="28"/>
          <w:u w:val="single"/>
          <w:rtl/>
        </w:rPr>
      </w:pPr>
    </w:p>
    <w:p w:rsidR="00E74CCB" w:rsidRDefault="00E74CCB" w:rsidP="00E74CCB">
      <w:pPr>
        <w:bidi/>
        <w:jc w:val="both"/>
        <w:rPr>
          <w:sz w:val="28"/>
          <w:rtl/>
        </w:rPr>
      </w:pPr>
      <w:r>
        <w:rPr>
          <w:b/>
          <w:bCs/>
          <w:sz w:val="28"/>
          <w:u w:val="single"/>
          <w:rtl/>
        </w:rPr>
        <w:t>المادة السابعة: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>تضاف إلى المادة 101 من القانون رقم 659/2005 الفقرة الآتية:</w:t>
      </w:r>
    </w:p>
    <w:p w:rsidR="00E74CCB" w:rsidRDefault="00446B7C" w:rsidP="00201ECB">
      <w:pPr>
        <w:bidi/>
        <w:ind w:firstLine="720"/>
        <w:jc w:val="both"/>
        <w:rPr>
          <w:sz w:val="28"/>
          <w:rtl/>
        </w:rPr>
      </w:pPr>
      <w:r>
        <w:rPr>
          <w:rFonts w:hint="cs"/>
          <w:sz w:val="28"/>
          <w:rtl/>
        </w:rPr>
        <w:t>«</w:t>
      </w:r>
      <w:r w:rsidR="00E74CCB">
        <w:rPr>
          <w:sz w:val="28"/>
          <w:rtl/>
        </w:rPr>
        <w:t>على أن تصدر اللجنة قرارها في مهلة لا تتجاوز ال</w:t>
      </w:r>
      <w:r w:rsidR="001863FE">
        <w:rPr>
          <w:sz w:val="28"/>
          <w:rtl/>
        </w:rPr>
        <w:t>ستة أشهر من تاريخ تقديم الدعوى</w:t>
      </w:r>
      <w:r>
        <w:rPr>
          <w:rFonts w:hint="cs"/>
          <w:sz w:val="28"/>
          <w:rtl/>
        </w:rPr>
        <w:t>»</w:t>
      </w:r>
      <w:r w:rsidR="001863FE">
        <w:rPr>
          <w:rFonts w:hint="cs"/>
          <w:sz w:val="28"/>
          <w:rtl/>
        </w:rPr>
        <w:t>.</w:t>
      </w:r>
    </w:p>
    <w:p w:rsidR="00E74CCB" w:rsidRDefault="00E74CCB" w:rsidP="00E74CCB">
      <w:pPr>
        <w:bidi/>
        <w:rPr>
          <w:szCs w:val="20"/>
          <w:rtl/>
        </w:rPr>
      </w:pPr>
    </w:p>
    <w:p w:rsidR="00E74CCB" w:rsidRDefault="00E74CCB" w:rsidP="00E74CCB">
      <w:pPr>
        <w:bidi/>
        <w:jc w:val="both"/>
        <w:rPr>
          <w:sz w:val="28"/>
          <w:rtl/>
        </w:rPr>
      </w:pPr>
      <w:r>
        <w:rPr>
          <w:b/>
          <w:bCs/>
          <w:sz w:val="28"/>
          <w:u w:val="single"/>
          <w:rtl/>
        </w:rPr>
        <w:t>المادة الثامنة: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>يلغى نص الفقرة الأولى من المادة 108 من القانون رقم 659/2005 ويستعاض عنه بالنص الآتي:</w:t>
      </w:r>
    </w:p>
    <w:p w:rsidR="00E74CCB" w:rsidRDefault="00446B7C" w:rsidP="00201ECB">
      <w:pPr>
        <w:bidi/>
        <w:ind w:left="720"/>
        <w:jc w:val="both"/>
        <w:rPr>
          <w:sz w:val="28"/>
          <w:rtl/>
        </w:rPr>
      </w:pPr>
      <w:r>
        <w:rPr>
          <w:rFonts w:hint="cs"/>
          <w:sz w:val="28"/>
          <w:rtl/>
        </w:rPr>
        <w:t>«</w:t>
      </w:r>
      <w:r w:rsidR="00E74CCB">
        <w:rPr>
          <w:sz w:val="28"/>
          <w:rtl/>
        </w:rPr>
        <w:t xml:space="preserve">يعاقب بالحبس من ستة أشهر إلى سنتين وبالغرامة من خمسين مليوناً </w:t>
      </w:r>
      <w:r>
        <w:rPr>
          <w:sz w:val="28"/>
          <w:rtl/>
        </w:rPr>
        <w:t>إلى مائة وخمسين مليون ليرة، من:</w:t>
      </w:r>
      <w:r>
        <w:rPr>
          <w:rFonts w:hint="cs"/>
          <w:sz w:val="28"/>
          <w:rtl/>
        </w:rPr>
        <w:t>»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>[والباقي دون تعديل]</w:t>
      </w:r>
    </w:p>
    <w:p w:rsidR="00E74CCB" w:rsidRDefault="00E74CCB" w:rsidP="00E74CCB">
      <w:pPr>
        <w:bidi/>
        <w:jc w:val="both"/>
        <w:rPr>
          <w:b/>
          <w:bCs/>
          <w:sz w:val="28"/>
          <w:u w:val="single"/>
          <w:rtl/>
        </w:rPr>
      </w:pPr>
    </w:p>
    <w:p w:rsidR="00E74CCB" w:rsidRDefault="00E74CCB" w:rsidP="00E74CCB">
      <w:pPr>
        <w:bidi/>
        <w:jc w:val="both"/>
        <w:rPr>
          <w:sz w:val="28"/>
          <w:rtl/>
        </w:rPr>
      </w:pPr>
      <w:r>
        <w:rPr>
          <w:b/>
          <w:bCs/>
          <w:sz w:val="28"/>
          <w:u w:val="single"/>
          <w:rtl/>
        </w:rPr>
        <w:t>المادة التاسعة: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>يلغى نص الفقرة الأولى من المادة 109 من القانون رقم 659/2005 ويستعاض عنه بالنص الآتي:</w:t>
      </w:r>
    </w:p>
    <w:p w:rsidR="00E74CCB" w:rsidRDefault="00E74CCB" w:rsidP="00201ECB">
      <w:pPr>
        <w:bidi/>
        <w:ind w:left="720"/>
        <w:jc w:val="both"/>
        <w:rPr>
          <w:sz w:val="28"/>
          <w:rtl/>
        </w:rPr>
      </w:pPr>
      <w:r>
        <w:rPr>
          <w:sz w:val="28"/>
          <w:rtl/>
        </w:rPr>
        <w:t>يعاقب بالحبس من سنة إلى ثلاث سنوات وبالغرامة من مائة مليون إلى ثلاثمائة مليون ليرة</w:t>
      </w:r>
      <w:r w:rsidR="00446B7C">
        <w:rPr>
          <w:sz w:val="28"/>
          <w:rtl/>
        </w:rPr>
        <w:t>، من أقدم وهو عالم بالأمر، على:</w:t>
      </w:r>
      <w:r w:rsidR="00446B7C">
        <w:rPr>
          <w:rFonts w:hint="cs"/>
          <w:sz w:val="28"/>
          <w:rtl/>
        </w:rPr>
        <w:t>»</w:t>
      </w:r>
    </w:p>
    <w:p w:rsidR="00201E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 xml:space="preserve"> [والباقي دون تعديل]</w:t>
      </w:r>
    </w:p>
    <w:p w:rsidR="00201ECB" w:rsidRDefault="00201ECB" w:rsidP="00201ECB">
      <w:pPr>
        <w:bidi/>
        <w:jc w:val="both"/>
        <w:rPr>
          <w:sz w:val="28"/>
          <w:rtl/>
        </w:rPr>
      </w:pPr>
    </w:p>
    <w:p w:rsidR="00E74CCB" w:rsidRDefault="00E74CCB" w:rsidP="00201ECB">
      <w:pPr>
        <w:bidi/>
        <w:jc w:val="both"/>
        <w:rPr>
          <w:sz w:val="28"/>
          <w:rtl/>
        </w:rPr>
      </w:pPr>
      <w:r>
        <w:rPr>
          <w:b/>
          <w:bCs/>
          <w:sz w:val="28"/>
          <w:u w:val="single"/>
          <w:rtl/>
        </w:rPr>
        <w:t>المادة العاشرة: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>يلغى نص المادة 110 من القانون رقم 659/2005 ويستعاض عنه بالنص الآتي:</w:t>
      </w:r>
    </w:p>
    <w:p w:rsidR="00E74CCB" w:rsidRDefault="00446B7C" w:rsidP="00201ECB">
      <w:pPr>
        <w:bidi/>
        <w:ind w:left="720"/>
        <w:jc w:val="both"/>
        <w:rPr>
          <w:sz w:val="28"/>
          <w:rtl/>
        </w:rPr>
      </w:pPr>
      <w:r>
        <w:rPr>
          <w:rFonts w:hint="cs"/>
          <w:sz w:val="28"/>
          <w:rtl/>
        </w:rPr>
        <w:t>«</w:t>
      </w:r>
      <w:r w:rsidR="00E74CCB">
        <w:rPr>
          <w:sz w:val="28"/>
          <w:rtl/>
        </w:rPr>
        <w:t xml:space="preserve">يعاقب بالحبس من سنة الى أربع سنوات وبالغرامة من مائة وخمسين مليوناً الى أربعماية مليون ليرة لبنانية </w:t>
      </w:r>
      <w:r w:rsidR="001863FE">
        <w:rPr>
          <w:rFonts w:hint="cs"/>
          <w:sz w:val="28"/>
          <w:rtl/>
        </w:rPr>
        <w:t>إ</w:t>
      </w:r>
      <w:r w:rsidR="001863FE">
        <w:rPr>
          <w:sz w:val="28"/>
          <w:rtl/>
        </w:rPr>
        <w:t xml:space="preserve">ذا نجم عن </w:t>
      </w:r>
      <w:r w:rsidR="001863FE">
        <w:rPr>
          <w:rFonts w:hint="cs"/>
          <w:sz w:val="28"/>
          <w:rtl/>
        </w:rPr>
        <w:t>أ</w:t>
      </w:r>
      <w:r w:rsidR="001863FE">
        <w:rPr>
          <w:sz w:val="28"/>
          <w:rtl/>
        </w:rPr>
        <w:t>حد ا</w:t>
      </w:r>
      <w:r w:rsidR="001863FE">
        <w:rPr>
          <w:rFonts w:hint="cs"/>
          <w:sz w:val="28"/>
          <w:rtl/>
        </w:rPr>
        <w:t>لأ</w:t>
      </w:r>
      <w:r w:rsidR="00E74CCB">
        <w:rPr>
          <w:sz w:val="28"/>
          <w:rtl/>
        </w:rPr>
        <w:t>ف</w:t>
      </w:r>
      <w:r w:rsidR="001863FE">
        <w:rPr>
          <w:sz w:val="28"/>
          <w:rtl/>
        </w:rPr>
        <w:t xml:space="preserve">عال المذكورة في المادة السابقة </w:t>
      </w:r>
      <w:r w:rsidR="001863FE">
        <w:rPr>
          <w:rFonts w:hint="cs"/>
          <w:sz w:val="28"/>
          <w:rtl/>
        </w:rPr>
        <w:t>إ</w:t>
      </w:r>
      <w:r w:rsidR="001863FE">
        <w:rPr>
          <w:sz w:val="28"/>
          <w:rtl/>
        </w:rPr>
        <w:t xml:space="preserve">صابة أحد المستهلكين بالتسمم </w:t>
      </w:r>
      <w:r w:rsidR="001863FE">
        <w:rPr>
          <w:rFonts w:hint="cs"/>
          <w:sz w:val="28"/>
          <w:rtl/>
        </w:rPr>
        <w:t>أ</w:t>
      </w:r>
      <w:r w:rsidR="00E74CCB">
        <w:rPr>
          <w:sz w:val="28"/>
          <w:rtl/>
        </w:rPr>
        <w:t>و بمرض</w:t>
      </w:r>
      <w:r w:rsidR="001863FE">
        <w:rPr>
          <w:sz w:val="28"/>
          <w:rtl/>
        </w:rPr>
        <w:t xml:space="preserve"> </w:t>
      </w:r>
      <w:r w:rsidR="001863FE">
        <w:rPr>
          <w:rFonts w:hint="cs"/>
          <w:sz w:val="28"/>
          <w:rtl/>
        </w:rPr>
        <w:t>أ</w:t>
      </w:r>
      <w:r w:rsidR="00E74CCB">
        <w:rPr>
          <w:sz w:val="28"/>
          <w:rtl/>
        </w:rPr>
        <w:t>د</w:t>
      </w:r>
      <w:r w:rsidR="001863FE">
        <w:rPr>
          <w:rFonts w:hint="cs"/>
          <w:sz w:val="28"/>
          <w:rtl/>
        </w:rPr>
        <w:t>ّ</w:t>
      </w:r>
      <w:r w:rsidR="001863FE">
        <w:rPr>
          <w:sz w:val="28"/>
          <w:rtl/>
        </w:rPr>
        <w:t xml:space="preserve">ى </w:t>
      </w:r>
      <w:r w:rsidR="001863FE">
        <w:rPr>
          <w:rFonts w:hint="cs"/>
          <w:sz w:val="28"/>
          <w:rtl/>
        </w:rPr>
        <w:t>إ</w:t>
      </w:r>
      <w:r w:rsidR="00E74CCB">
        <w:rPr>
          <w:sz w:val="28"/>
          <w:rtl/>
        </w:rPr>
        <w:t>لى تعطيله عن العمل مدة عشرة أيام على الأقل.</w:t>
      </w:r>
    </w:p>
    <w:p w:rsidR="00201ECB" w:rsidRDefault="00201ECB" w:rsidP="00201ECB">
      <w:pPr>
        <w:bidi/>
        <w:jc w:val="both"/>
        <w:rPr>
          <w:sz w:val="28"/>
          <w:rtl/>
        </w:rPr>
      </w:pPr>
    </w:p>
    <w:p w:rsidR="00E74CCB" w:rsidRDefault="001863FE" w:rsidP="00201ECB">
      <w:pPr>
        <w:bidi/>
        <w:ind w:left="720"/>
        <w:jc w:val="both"/>
        <w:rPr>
          <w:sz w:val="28"/>
          <w:rtl/>
        </w:rPr>
      </w:pPr>
      <w:r>
        <w:rPr>
          <w:sz w:val="28"/>
          <w:rtl/>
        </w:rPr>
        <w:t>يعاقب با</w:t>
      </w:r>
      <w:r>
        <w:rPr>
          <w:rFonts w:hint="cs"/>
          <w:sz w:val="28"/>
          <w:rtl/>
        </w:rPr>
        <w:t>لأ</w:t>
      </w:r>
      <w:r w:rsidR="00E74CCB">
        <w:rPr>
          <w:sz w:val="28"/>
          <w:rtl/>
        </w:rPr>
        <w:t>شغ</w:t>
      </w:r>
      <w:r>
        <w:rPr>
          <w:sz w:val="28"/>
          <w:rtl/>
        </w:rPr>
        <w:t xml:space="preserve">ال الشاقة المؤقتة من خمس سنوات </w:t>
      </w:r>
      <w:r>
        <w:rPr>
          <w:rFonts w:hint="cs"/>
          <w:sz w:val="28"/>
          <w:rtl/>
        </w:rPr>
        <w:t>إ</w:t>
      </w:r>
      <w:r w:rsidR="00E74CCB">
        <w:rPr>
          <w:sz w:val="28"/>
          <w:rtl/>
        </w:rPr>
        <w:t>لى خمس عشرة سن</w:t>
      </w:r>
      <w:r>
        <w:rPr>
          <w:sz w:val="28"/>
          <w:rtl/>
        </w:rPr>
        <w:t xml:space="preserve">ة وبالغرامة من خمسماية مليوناً </w:t>
      </w:r>
      <w:r>
        <w:rPr>
          <w:rFonts w:hint="cs"/>
          <w:sz w:val="28"/>
          <w:rtl/>
        </w:rPr>
        <w:t>إ</w:t>
      </w:r>
      <w:r>
        <w:rPr>
          <w:sz w:val="28"/>
          <w:rtl/>
        </w:rPr>
        <w:t xml:space="preserve">لى مليار ليرة لبنانية </w:t>
      </w:r>
      <w:r>
        <w:rPr>
          <w:rFonts w:hint="cs"/>
          <w:sz w:val="28"/>
          <w:rtl/>
        </w:rPr>
        <w:t>إ</w:t>
      </w:r>
      <w:r>
        <w:rPr>
          <w:sz w:val="28"/>
          <w:rtl/>
        </w:rPr>
        <w:t xml:space="preserve">ذا </w:t>
      </w:r>
      <w:r>
        <w:rPr>
          <w:rFonts w:hint="cs"/>
          <w:sz w:val="28"/>
          <w:rtl/>
        </w:rPr>
        <w:t>أ</w:t>
      </w:r>
      <w:r w:rsidR="00E74CCB">
        <w:rPr>
          <w:sz w:val="28"/>
          <w:rtl/>
        </w:rPr>
        <w:t>د</w:t>
      </w:r>
      <w:r>
        <w:rPr>
          <w:rFonts w:hint="cs"/>
          <w:sz w:val="28"/>
          <w:rtl/>
        </w:rPr>
        <w:t>ّ</w:t>
      </w:r>
      <w:r>
        <w:rPr>
          <w:sz w:val="28"/>
          <w:rtl/>
        </w:rPr>
        <w:t xml:space="preserve">ى الفعل </w:t>
      </w:r>
      <w:r>
        <w:rPr>
          <w:rFonts w:hint="cs"/>
          <w:sz w:val="28"/>
          <w:rtl/>
        </w:rPr>
        <w:t>إ</w:t>
      </w:r>
      <w:r>
        <w:rPr>
          <w:sz w:val="28"/>
          <w:rtl/>
        </w:rPr>
        <w:t xml:space="preserve">لى انتشار مرض وبائي </w:t>
      </w:r>
      <w:r>
        <w:rPr>
          <w:rFonts w:hint="cs"/>
          <w:sz w:val="28"/>
          <w:rtl/>
        </w:rPr>
        <w:t>أ</w:t>
      </w:r>
      <w:r>
        <w:rPr>
          <w:sz w:val="28"/>
          <w:rtl/>
        </w:rPr>
        <w:t xml:space="preserve">و </w:t>
      </w:r>
      <w:r>
        <w:rPr>
          <w:rFonts w:hint="cs"/>
          <w:sz w:val="28"/>
          <w:rtl/>
        </w:rPr>
        <w:t>إ</w:t>
      </w:r>
      <w:r w:rsidR="00E74CCB">
        <w:rPr>
          <w:sz w:val="28"/>
          <w:rtl/>
        </w:rPr>
        <w:t>لى التسبب بوفاة انسان.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 xml:space="preserve">تطبق هذه العقوبات ولو كان </w:t>
      </w:r>
      <w:r w:rsidR="00446B7C">
        <w:rPr>
          <w:sz w:val="28"/>
          <w:rtl/>
        </w:rPr>
        <w:t>الشار</w:t>
      </w:r>
      <w:r w:rsidR="001863FE">
        <w:rPr>
          <w:sz w:val="28"/>
          <w:rtl/>
        </w:rPr>
        <w:t>ي على علم بالغش او الفساد</w:t>
      </w:r>
      <w:r w:rsidR="00446B7C">
        <w:rPr>
          <w:rFonts w:hint="cs"/>
          <w:sz w:val="28"/>
          <w:rtl/>
        </w:rPr>
        <w:t>»</w:t>
      </w:r>
      <w:r w:rsidR="001863FE">
        <w:rPr>
          <w:rFonts w:hint="cs"/>
          <w:sz w:val="28"/>
          <w:rtl/>
        </w:rPr>
        <w:t>.</w:t>
      </w:r>
    </w:p>
    <w:p w:rsidR="00E74CCB" w:rsidRDefault="00E74CCB" w:rsidP="00E74CCB">
      <w:pPr>
        <w:bidi/>
        <w:rPr>
          <w:szCs w:val="20"/>
          <w:rtl/>
        </w:rPr>
      </w:pPr>
    </w:p>
    <w:p w:rsidR="00E74CCB" w:rsidRDefault="00E74CCB" w:rsidP="00E74CCB">
      <w:pPr>
        <w:bidi/>
        <w:jc w:val="both"/>
        <w:rPr>
          <w:sz w:val="28"/>
          <w:rtl/>
        </w:rPr>
      </w:pPr>
      <w:r>
        <w:rPr>
          <w:b/>
          <w:bCs/>
          <w:sz w:val="28"/>
          <w:u w:val="single"/>
          <w:rtl/>
        </w:rPr>
        <w:t>المادة الحادية عشرة: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>يلغى مطلع المادة 111 من القانون رقم 659/2005 ويستعاض عنه بالنص الآتي:</w:t>
      </w:r>
    </w:p>
    <w:p w:rsidR="00E74CCB" w:rsidRDefault="00446B7C" w:rsidP="00201ECB">
      <w:pPr>
        <w:bidi/>
        <w:ind w:left="720"/>
        <w:jc w:val="both"/>
        <w:rPr>
          <w:sz w:val="28"/>
          <w:rtl/>
        </w:rPr>
      </w:pPr>
      <w:r>
        <w:rPr>
          <w:rFonts w:hint="cs"/>
          <w:sz w:val="28"/>
          <w:rtl/>
        </w:rPr>
        <w:t>«</w:t>
      </w:r>
      <w:r w:rsidR="00E74CCB">
        <w:rPr>
          <w:sz w:val="28"/>
          <w:rtl/>
        </w:rPr>
        <w:t>يعاقب بالحبس من ستة أشهر الى سن</w:t>
      </w:r>
      <w:r w:rsidR="001863FE">
        <w:rPr>
          <w:sz w:val="28"/>
          <w:rtl/>
        </w:rPr>
        <w:t xml:space="preserve">تين وبالغرامة من خمسين مليوناً </w:t>
      </w:r>
      <w:r w:rsidR="001863FE">
        <w:rPr>
          <w:rFonts w:hint="cs"/>
          <w:sz w:val="28"/>
          <w:rtl/>
        </w:rPr>
        <w:t>إ</w:t>
      </w:r>
      <w:r w:rsidR="00E74CCB">
        <w:rPr>
          <w:sz w:val="28"/>
          <w:rtl/>
        </w:rPr>
        <w:t xml:space="preserve">لى </w:t>
      </w:r>
      <w:r>
        <w:rPr>
          <w:sz w:val="28"/>
          <w:rtl/>
        </w:rPr>
        <w:t>مائة وخمسين مليون ليرة لبنانية:</w:t>
      </w:r>
      <w:r>
        <w:rPr>
          <w:rFonts w:hint="cs"/>
          <w:sz w:val="28"/>
          <w:rtl/>
        </w:rPr>
        <w:t>»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>[والباقي دون تعديل]</w:t>
      </w:r>
    </w:p>
    <w:p w:rsidR="00E74CCB" w:rsidRDefault="00E74CCB" w:rsidP="00E74CCB">
      <w:pPr>
        <w:bidi/>
        <w:jc w:val="both"/>
        <w:rPr>
          <w:b/>
          <w:bCs/>
          <w:sz w:val="28"/>
          <w:u w:val="single"/>
          <w:rtl/>
        </w:rPr>
      </w:pPr>
    </w:p>
    <w:p w:rsidR="00E74CCB" w:rsidRDefault="00E74CCB" w:rsidP="00E74CCB">
      <w:pPr>
        <w:bidi/>
        <w:jc w:val="both"/>
        <w:rPr>
          <w:sz w:val="28"/>
          <w:rtl/>
        </w:rPr>
      </w:pPr>
      <w:r>
        <w:rPr>
          <w:b/>
          <w:bCs/>
          <w:sz w:val="28"/>
          <w:u w:val="single"/>
          <w:rtl/>
        </w:rPr>
        <w:t>المادة الثانية عشرة: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>يلغى نص الفقرة الأولى من المادة 112 من القانون رقم 659/2005 ويستعاض عنه بالنص الآتي:</w:t>
      </w:r>
    </w:p>
    <w:p w:rsidR="00E74CCB" w:rsidRDefault="00446B7C" w:rsidP="00201ECB">
      <w:pPr>
        <w:bidi/>
        <w:ind w:left="720"/>
        <w:jc w:val="both"/>
        <w:rPr>
          <w:sz w:val="28"/>
          <w:rtl/>
        </w:rPr>
      </w:pPr>
      <w:r>
        <w:rPr>
          <w:rFonts w:hint="cs"/>
          <w:sz w:val="28"/>
          <w:rtl/>
        </w:rPr>
        <w:t>«</w:t>
      </w:r>
      <w:r w:rsidR="00E74CCB">
        <w:rPr>
          <w:sz w:val="28"/>
          <w:rtl/>
        </w:rPr>
        <w:t xml:space="preserve">يرفع الحد الأقصى لعقوبة الحبس الملحوظة في المادة السابقة إلى ثلاث سنوات </w:t>
      </w:r>
      <w:r w:rsidR="001863FE">
        <w:rPr>
          <w:sz w:val="28"/>
          <w:rtl/>
        </w:rPr>
        <w:t xml:space="preserve">وتضاعف الغرامة </w:t>
      </w:r>
      <w:r w:rsidR="001863FE">
        <w:rPr>
          <w:rFonts w:hint="cs"/>
          <w:sz w:val="28"/>
          <w:rtl/>
        </w:rPr>
        <w:t>إ</w:t>
      </w:r>
      <w:r>
        <w:rPr>
          <w:sz w:val="28"/>
          <w:rtl/>
        </w:rPr>
        <w:t>ذا ارتكب الجرم:</w:t>
      </w:r>
      <w:r>
        <w:rPr>
          <w:rFonts w:hint="cs"/>
          <w:sz w:val="28"/>
          <w:rtl/>
        </w:rPr>
        <w:t>»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>[الباقي دون تعديل]</w:t>
      </w:r>
    </w:p>
    <w:p w:rsidR="00E74CCB" w:rsidRDefault="00E74CCB" w:rsidP="00E74CCB">
      <w:pPr>
        <w:bidi/>
        <w:jc w:val="both"/>
        <w:rPr>
          <w:b/>
          <w:bCs/>
          <w:sz w:val="28"/>
          <w:u w:val="single"/>
          <w:rtl/>
        </w:rPr>
      </w:pPr>
    </w:p>
    <w:p w:rsidR="00E74CCB" w:rsidRDefault="00E74CCB" w:rsidP="00E74CCB">
      <w:pPr>
        <w:bidi/>
        <w:jc w:val="both"/>
        <w:rPr>
          <w:sz w:val="28"/>
          <w:rtl/>
        </w:rPr>
      </w:pPr>
      <w:r>
        <w:rPr>
          <w:b/>
          <w:bCs/>
          <w:sz w:val="28"/>
          <w:u w:val="single"/>
          <w:rtl/>
        </w:rPr>
        <w:t>المادة الثالثة عشرة: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>يلغى نص المادة 117 من القانون رقم 659/2005 ويستعاض عنه بالنص الآتي:</w:t>
      </w:r>
    </w:p>
    <w:p w:rsidR="00E74CCB" w:rsidRDefault="00446B7C" w:rsidP="00201ECB">
      <w:pPr>
        <w:bidi/>
        <w:ind w:left="720"/>
        <w:jc w:val="both"/>
        <w:rPr>
          <w:sz w:val="28"/>
          <w:rtl/>
        </w:rPr>
      </w:pPr>
      <w:r>
        <w:rPr>
          <w:rFonts w:hint="cs"/>
          <w:sz w:val="28"/>
          <w:rtl/>
        </w:rPr>
        <w:t>«</w:t>
      </w:r>
      <w:r w:rsidR="00E74CCB">
        <w:rPr>
          <w:sz w:val="28"/>
          <w:rtl/>
        </w:rPr>
        <w:t xml:space="preserve">يعاقب الفاعل بإحدى العقوبتين المنصوص عليهما في كل من المواد السابقة إذا كان الضرر الناتج عن الجرم قد أزيل كليا ًقبل إحالة الدعوى إلى المحكمة. </w:t>
      </w:r>
    </w:p>
    <w:p w:rsidR="00E74CCB" w:rsidRDefault="001863FE" w:rsidP="00201ECB">
      <w:pPr>
        <w:bidi/>
        <w:ind w:firstLine="720"/>
        <w:jc w:val="both"/>
        <w:rPr>
          <w:sz w:val="28"/>
          <w:rtl/>
        </w:rPr>
      </w:pPr>
      <w:r>
        <w:rPr>
          <w:rFonts w:hint="cs"/>
          <w:sz w:val="28"/>
          <w:rtl/>
        </w:rPr>
        <w:t>أ</w:t>
      </w:r>
      <w:r>
        <w:rPr>
          <w:sz w:val="28"/>
          <w:rtl/>
        </w:rPr>
        <w:t xml:space="preserve">ما </w:t>
      </w:r>
      <w:r>
        <w:rPr>
          <w:rFonts w:hint="cs"/>
          <w:sz w:val="28"/>
          <w:rtl/>
        </w:rPr>
        <w:t>إ</w:t>
      </w:r>
      <w:r>
        <w:rPr>
          <w:sz w:val="28"/>
          <w:rtl/>
        </w:rPr>
        <w:t xml:space="preserve">ذا </w:t>
      </w:r>
      <w:r>
        <w:rPr>
          <w:rFonts w:hint="cs"/>
          <w:sz w:val="28"/>
          <w:rtl/>
        </w:rPr>
        <w:t>أ</w:t>
      </w:r>
      <w:r>
        <w:rPr>
          <w:sz w:val="28"/>
          <w:rtl/>
        </w:rPr>
        <w:t>زيل الضرر قبل صدور الحكم في ا</w:t>
      </w:r>
      <w:r>
        <w:rPr>
          <w:rFonts w:hint="cs"/>
          <w:sz w:val="28"/>
          <w:rtl/>
        </w:rPr>
        <w:t>لأ</w:t>
      </w:r>
      <w:r w:rsidR="00E74CCB">
        <w:rPr>
          <w:sz w:val="28"/>
          <w:rtl/>
        </w:rPr>
        <w:t>ساس فيخف</w:t>
      </w:r>
      <w:r>
        <w:rPr>
          <w:rFonts w:hint="cs"/>
          <w:sz w:val="28"/>
          <w:rtl/>
        </w:rPr>
        <w:t>ّ</w:t>
      </w:r>
      <w:r w:rsidR="00E74CCB">
        <w:rPr>
          <w:sz w:val="28"/>
          <w:rtl/>
        </w:rPr>
        <w:t>ض من كل عقوبة ربعها.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 xml:space="preserve">لا تطبق أحكام هذه المادة في حال التكرار. </w:t>
      </w:r>
    </w:p>
    <w:p w:rsidR="00E74CCB" w:rsidRDefault="00E74CCB" w:rsidP="00201ECB">
      <w:pPr>
        <w:bidi/>
        <w:ind w:left="720"/>
        <w:jc w:val="both"/>
        <w:rPr>
          <w:sz w:val="28"/>
        </w:rPr>
      </w:pPr>
      <w:r>
        <w:rPr>
          <w:sz w:val="28"/>
          <w:rtl/>
        </w:rPr>
        <w:t>لا تطبق أحكام هذه المادة في</w:t>
      </w:r>
      <w:r w:rsidR="00201ECB">
        <w:rPr>
          <w:rFonts w:hint="cs"/>
          <w:sz w:val="28"/>
          <w:rtl/>
        </w:rPr>
        <w:t xml:space="preserve"> </w:t>
      </w:r>
      <w:r>
        <w:rPr>
          <w:sz w:val="28"/>
          <w:rtl/>
        </w:rPr>
        <w:t>حال ارتكاب الجرائم المتعلقة بالسلع الغذائية والمنصوص</w:t>
      </w:r>
      <w:r w:rsidR="00446B7C">
        <w:rPr>
          <w:sz w:val="28"/>
          <w:rtl/>
        </w:rPr>
        <w:t xml:space="preserve"> والمعاقب عليها في هذا القانون</w:t>
      </w:r>
      <w:r w:rsidR="00446B7C">
        <w:rPr>
          <w:rFonts w:hint="cs"/>
          <w:sz w:val="28"/>
          <w:rtl/>
        </w:rPr>
        <w:t>»</w:t>
      </w:r>
      <w:r w:rsidR="001863FE">
        <w:rPr>
          <w:rFonts w:hint="cs"/>
          <w:sz w:val="28"/>
          <w:rtl/>
        </w:rPr>
        <w:t>.</w:t>
      </w:r>
    </w:p>
    <w:p w:rsidR="00201ECB" w:rsidRDefault="00201ECB" w:rsidP="00201ECB">
      <w:pPr>
        <w:bidi/>
        <w:jc w:val="both"/>
        <w:rPr>
          <w:b/>
          <w:bCs/>
          <w:sz w:val="28"/>
          <w:u w:val="single"/>
          <w:rtl/>
        </w:rPr>
      </w:pPr>
    </w:p>
    <w:p w:rsidR="00E74CCB" w:rsidRDefault="00E74CCB" w:rsidP="00237BB0">
      <w:pPr>
        <w:bidi/>
        <w:jc w:val="both"/>
        <w:rPr>
          <w:sz w:val="28"/>
          <w:rtl/>
        </w:rPr>
      </w:pPr>
      <w:r>
        <w:rPr>
          <w:b/>
          <w:bCs/>
          <w:sz w:val="28"/>
          <w:u w:val="single"/>
          <w:rtl/>
        </w:rPr>
        <w:t>المادة الرابعة عشرة: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>يلغى نص الفقرة الأولى من المادة 118 من القانون رقم 659/2005 ويستعاض عنه بالنص الآتي:</w:t>
      </w:r>
    </w:p>
    <w:p w:rsidR="00E74CCB" w:rsidRDefault="00446B7C" w:rsidP="00201ECB">
      <w:pPr>
        <w:bidi/>
        <w:ind w:firstLine="720"/>
        <w:jc w:val="both"/>
        <w:rPr>
          <w:sz w:val="28"/>
          <w:rtl/>
        </w:rPr>
      </w:pPr>
      <w:r>
        <w:rPr>
          <w:rFonts w:hint="cs"/>
          <w:sz w:val="28"/>
          <w:rtl/>
        </w:rPr>
        <w:t>«</w:t>
      </w:r>
      <w:r w:rsidR="00E74CCB">
        <w:rPr>
          <w:sz w:val="28"/>
          <w:rtl/>
        </w:rPr>
        <w:t xml:space="preserve">يعاقب بالغرامة من أربعين مليوناً إلى </w:t>
      </w:r>
      <w:r>
        <w:rPr>
          <w:sz w:val="28"/>
          <w:rtl/>
        </w:rPr>
        <w:t>خمسة وسبعين مليون ليرة لبنانية:</w:t>
      </w:r>
      <w:r>
        <w:rPr>
          <w:rFonts w:hint="cs"/>
          <w:sz w:val="28"/>
          <w:rtl/>
        </w:rPr>
        <w:t>»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>[والباقي دون تعديل]</w:t>
      </w:r>
    </w:p>
    <w:p w:rsidR="00446B7C" w:rsidRDefault="00446B7C" w:rsidP="00446B7C">
      <w:pPr>
        <w:bidi/>
        <w:jc w:val="both"/>
        <w:rPr>
          <w:b/>
          <w:bCs/>
          <w:sz w:val="28"/>
          <w:u w:val="single"/>
          <w:rtl/>
        </w:rPr>
      </w:pPr>
    </w:p>
    <w:p w:rsidR="00201ECB" w:rsidRDefault="00201ECB" w:rsidP="00201ECB">
      <w:pPr>
        <w:bidi/>
        <w:jc w:val="both"/>
        <w:rPr>
          <w:b/>
          <w:bCs/>
          <w:sz w:val="28"/>
          <w:u w:val="single"/>
          <w:rtl/>
        </w:rPr>
      </w:pPr>
    </w:p>
    <w:p w:rsidR="00201ECB" w:rsidRDefault="00201ECB" w:rsidP="00201ECB">
      <w:pPr>
        <w:bidi/>
        <w:jc w:val="both"/>
        <w:rPr>
          <w:b/>
          <w:bCs/>
          <w:sz w:val="28"/>
          <w:u w:val="single"/>
          <w:rtl/>
        </w:rPr>
      </w:pPr>
    </w:p>
    <w:p w:rsidR="00E74CCB" w:rsidRDefault="00E74CCB" w:rsidP="00237BB0">
      <w:pPr>
        <w:bidi/>
        <w:jc w:val="both"/>
        <w:rPr>
          <w:sz w:val="28"/>
          <w:rtl/>
        </w:rPr>
      </w:pPr>
      <w:r>
        <w:rPr>
          <w:b/>
          <w:bCs/>
          <w:sz w:val="28"/>
          <w:u w:val="single"/>
          <w:rtl/>
        </w:rPr>
        <w:t>المادة الخامسة عشرة: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>تلغى، في تعداد المواد الواردة في المادة 120 من القانون رقم 659/2005</w:t>
      </w:r>
      <w:r w:rsidR="001863FE">
        <w:rPr>
          <w:rFonts w:hint="cs"/>
          <w:sz w:val="28"/>
          <w:rtl/>
        </w:rPr>
        <w:t>،</w:t>
      </w:r>
      <w:r>
        <w:rPr>
          <w:sz w:val="28"/>
          <w:rtl/>
        </w:rPr>
        <w:t xml:space="preserve"> عبارة </w:t>
      </w:r>
      <w:r w:rsidR="00446B7C">
        <w:rPr>
          <w:rFonts w:hint="cs"/>
          <w:sz w:val="28"/>
          <w:rtl/>
        </w:rPr>
        <w:t>«</w:t>
      </w:r>
      <w:r w:rsidR="00446B7C">
        <w:rPr>
          <w:sz w:val="28"/>
          <w:rtl/>
        </w:rPr>
        <w:t>7 و25</w:t>
      </w:r>
      <w:r w:rsidR="00446B7C">
        <w:rPr>
          <w:rFonts w:hint="cs"/>
          <w:sz w:val="28"/>
          <w:rtl/>
        </w:rPr>
        <w:t>».</w:t>
      </w:r>
    </w:p>
    <w:p w:rsidR="00E74CCB" w:rsidRDefault="00E74CCB" w:rsidP="00E74CCB">
      <w:pPr>
        <w:bidi/>
        <w:rPr>
          <w:szCs w:val="20"/>
          <w:rtl/>
        </w:rPr>
      </w:pPr>
    </w:p>
    <w:p w:rsidR="00E74CCB" w:rsidRDefault="00E74CCB" w:rsidP="00237BB0">
      <w:pPr>
        <w:bidi/>
        <w:jc w:val="both"/>
        <w:rPr>
          <w:sz w:val="28"/>
          <w:rtl/>
        </w:rPr>
      </w:pPr>
      <w:r>
        <w:rPr>
          <w:b/>
          <w:bCs/>
          <w:sz w:val="28"/>
          <w:u w:val="single"/>
          <w:rtl/>
        </w:rPr>
        <w:t>المادة السادسة عشرة: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>يلغى نص المادة 121 من القانون رقم 659/2005 ويستعاض عنه بالنص الآتي:</w:t>
      </w:r>
    </w:p>
    <w:p w:rsidR="00E74CCB" w:rsidRDefault="00446B7C" w:rsidP="00201ECB">
      <w:pPr>
        <w:bidi/>
        <w:ind w:left="720"/>
        <w:jc w:val="both"/>
        <w:rPr>
          <w:sz w:val="28"/>
          <w:rtl/>
        </w:rPr>
      </w:pPr>
      <w:r>
        <w:rPr>
          <w:rFonts w:hint="cs"/>
          <w:sz w:val="28"/>
          <w:rtl/>
        </w:rPr>
        <w:t>«</w:t>
      </w:r>
      <w:r w:rsidR="00E74CCB">
        <w:rPr>
          <w:sz w:val="28"/>
          <w:rtl/>
        </w:rPr>
        <w:t>- في حال الأخذ بالأسباب المخففة، وبقرار معلل، لا يجوز أن تنقص العقو</w:t>
      </w:r>
      <w:r w:rsidR="00201ECB">
        <w:rPr>
          <w:rFonts w:hint="cs"/>
          <w:sz w:val="28"/>
          <w:rtl/>
        </w:rPr>
        <w:t>ب</w:t>
      </w:r>
      <w:r w:rsidR="00E74CCB">
        <w:rPr>
          <w:sz w:val="28"/>
          <w:rtl/>
        </w:rPr>
        <w:t>ة المحكوم بها عن نصف الحد الأدنى للعقوبة المحددة في هذا القانون.</w:t>
      </w:r>
    </w:p>
    <w:p w:rsidR="00E74CCB" w:rsidRDefault="00E74CCB" w:rsidP="00201ECB">
      <w:pPr>
        <w:bidi/>
        <w:ind w:left="34" w:firstLine="686"/>
        <w:jc w:val="both"/>
        <w:rPr>
          <w:sz w:val="28"/>
          <w:rtl/>
        </w:rPr>
      </w:pPr>
      <w:r>
        <w:rPr>
          <w:sz w:val="28"/>
          <w:rtl/>
        </w:rPr>
        <w:t>- لا يجوز الحكم بوقف تنفيذ العقوبة.</w:t>
      </w:r>
    </w:p>
    <w:p w:rsidR="00E74CCB" w:rsidRDefault="00E74CCB" w:rsidP="00201ECB">
      <w:pPr>
        <w:bidi/>
        <w:ind w:left="34" w:firstLine="686"/>
        <w:jc w:val="both"/>
        <w:rPr>
          <w:sz w:val="28"/>
          <w:rtl/>
        </w:rPr>
      </w:pPr>
      <w:r>
        <w:rPr>
          <w:sz w:val="28"/>
          <w:rtl/>
        </w:rPr>
        <w:t>- تضاعف في حال التكرار العقوبا</w:t>
      </w:r>
      <w:r w:rsidR="00446B7C">
        <w:rPr>
          <w:sz w:val="28"/>
          <w:rtl/>
        </w:rPr>
        <w:t>ت المنصوص عليها في هذا القانون</w:t>
      </w:r>
      <w:r w:rsidR="00446B7C">
        <w:rPr>
          <w:rFonts w:hint="cs"/>
          <w:sz w:val="28"/>
          <w:rtl/>
        </w:rPr>
        <w:t>»</w:t>
      </w:r>
      <w:r w:rsidR="001863FE">
        <w:rPr>
          <w:rFonts w:hint="cs"/>
          <w:sz w:val="28"/>
          <w:rtl/>
        </w:rPr>
        <w:t>.</w:t>
      </w:r>
    </w:p>
    <w:p w:rsidR="00E74CCB" w:rsidRDefault="00E74CCB" w:rsidP="00E74CCB">
      <w:pPr>
        <w:bidi/>
        <w:jc w:val="both"/>
        <w:rPr>
          <w:sz w:val="28"/>
          <w:rtl/>
        </w:rPr>
      </w:pPr>
    </w:p>
    <w:p w:rsidR="00E74CCB" w:rsidRDefault="00E74CCB" w:rsidP="00E74CCB">
      <w:pPr>
        <w:bidi/>
        <w:jc w:val="both"/>
        <w:rPr>
          <w:sz w:val="28"/>
          <w:rtl/>
        </w:rPr>
      </w:pPr>
      <w:r>
        <w:rPr>
          <w:b/>
          <w:bCs/>
          <w:sz w:val="28"/>
          <w:u w:val="single"/>
          <w:rtl/>
        </w:rPr>
        <w:t>المادة السابعة عشرة: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>يلغى نص المادة 122 من القانون رقم 659/2005 ويستعاض عنه بالنص الآتي:</w:t>
      </w:r>
    </w:p>
    <w:p w:rsidR="00E74CCB" w:rsidRDefault="00446B7C" w:rsidP="00201ECB">
      <w:pPr>
        <w:bidi/>
        <w:ind w:firstLine="72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«</w:t>
      </w:r>
      <w:r w:rsidR="00E74CCB" w:rsidRPr="00446B7C">
        <w:rPr>
          <w:rtl/>
        </w:rPr>
        <w:t>تنظر محكمة الاستئناف المختصة في المخالفات المضبوطة وفقا لأحكام هذا القانون.</w:t>
      </w:r>
    </w:p>
    <w:p w:rsidR="00E74CCB" w:rsidRDefault="00E74CCB" w:rsidP="00201ECB">
      <w:pPr>
        <w:bidi/>
        <w:ind w:left="720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/>
          <w:sz w:val="28"/>
          <w:rtl/>
        </w:rPr>
        <w:t>تنشر المحكمة المختصة الحكم كله أو خلاصته في الصحف التي تعينها على نفقة المحكوم عليه. ولها أن تقضي بلصق خلاصة الحكم على أبواب الأماكن التي يمارس فيها المحترف أ</w:t>
      </w:r>
      <w:r w:rsidR="00446B7C">
        <w:rPr>
          <w:rFonts w:ascii="Simplified Arabic" w:hAnsi="Simplified Arabic"/>
          <w:sz w:val="28"/>
          <w:rtl/>
        </w:rPr>
        <w:t>و المصنّع أو مقدم الخدمة نشاطه</w:t>
      </w:r>
      <w:r w:rsidR="00446B7C">
        <w:rPr>
          <w:rFonts w:ascii="Simplified Arabic" w:hAnsi="Simplified Arabic" w:hint="cs"/>
          <w:sz w:val="28"/>
          <w:rtl/>
        </w:rPr>
        <w:t>»</w:t>
      </w:r>
      <w:r w:rsidR="001863FE">
        <w:rPr>
          <w:rFonts w:ascii="Simplified Arabic" w:hAnsi="Simplified Arabic" w:hint="cs"/>
          <w:sz w:val="28"/>
          <w:rtl/>
        </w:rPr>
        <w:t>.</w:t>
      </w:r>
    </w:p>
    <w:p w:rsidR="00E74CCB" w:rsidRDefault="00E74CCB" w:rsidP="00E74CCB">
      <w:pPr>
        <w:bidi/>
        <w:ind w:left="34" w:hanging="8"/>
        <w:jc w:val="both"/>
        <w:rPr>
          <w:rFonts w:ascii="Calibri" w:hAnsi="Calibri"/>
          <w:b/>
          <w:bCs/>
          <w:rtl/>
        </w:rPr>
      </w:pPr>
    </w:p>
    <w:p w:rsidR="00E74CCB" w:rsidRDefault="00E74CCB" w:rsidP="00E74CCB">
      <w:pPr>
        <w:bidi/>
        <w:jc w:val="both"/>
        <w:rPr>
          <w:sz w:val="28"/>
          <w:rtl/>
        </w:rPr>
      </w:pPr>
      <w:r>
        <w:rPr>
          <w:b/>
          <w:bCs/>
          <w:sz w:val="28"/>
          <w:u w:val="single"/>
          <w:rtl/>
        </w:rPr>
        <w:t>المادة الثامنة عشرة:</w:t>
      </w:r>
    </w:p>
    <w:p w:rsidR="00E74CCB" w:rsidRDefault="00E74CCB" w:rsidP="00201ECB">
      <w:pPr>
        <w:bidi/>
        <w:ind w:firstLine="720"/>
        <w:jc w:val="both"/>
        <w:rPr>
          <w:sz w:val="28"/>
          <w:rtl/>
        </w:rPr>
      </w:pPr>
      <w:r>
        <w:rPr>
          <w:sz w:val="28"/>
          <w:rtl/>
        </w:rPr>
        <w:t xml:space="preserve">يضاف إلى نص المادة 123 من القانون رقم 659/2005 فقرة ثانية جديدة </w:t>
      </w:r>
      <w:r w:rsidR="00201ECB">
        <w:rPr>
          <w:rFonts w:hint="cs"/>
          <w:sz w:val="28"/>
          <w:rtl/>
        </w:rPr>
        <w:t>الآتي</w:t>
      </w:r>
      <w:r>
        <w:rPr>
          <w:sz w:val="28"/>
          <w:rtl/>
        </w:rPr>
        <w:t xml:space="preserve"> نصها:</w:t>
      </w:r>
    </w:p>
    <w:p w:rsidR="00E74CCB" w:rsidRDefault="00446B7C" w:rsidP="00201ECB">
      <w:pPr>
        <w:bidi/>
        <w:ind w:left="720"/>
        <w:jc w:val="both"/>
        <w:rPr>
          <w:sz w:val="28"/>
          <w:rtl/>
        </w:rPr>
      </w:pPr>
      <w:r>
        <w:rPr>
          <w:rFonts w:hint="cs"/>
          <w:sz w:val="28"/>
          <w:rtl/>
        </w:rPr>
        <w:t>«</w:t>
      </w:r>
      <w:r w:rsidR="00E74CCB">
        <w:rPr>
          <w:sz w:val="28"/>
          <w:rtl/>
        </w:rPr>
        <w:t>على المحكمة أن تقضي بالتدابير الاحترازية المنصوص عليها في الفقرة الاولى من هذه المادة، في حال تكرار أي من الجرائم</w:t>
      </w:r>
      <w:r>
        <w:rPr>
          <w:rFonts w:hint="cs"/>
          <w:sz w:val="28"/>
          <w:rtl/>
        </w:rPr>
        <w:t xml:space="preserve"> </w:t>
      </w:r>
      <w:r w:rsidR="00E74CCB">
        <w:rPr>
          <w:sz w:val="28"/>
          <w:rtl/>
        </w:rPr>
        <w:t>المنصوص عليها في هذا القانون</w:t>
      </w:r>
      <w:r>
        <w:rPr>
          <w:rFonts w:hint="cs"/>
          <w:sz w:val="28"/>
          <w:rtl/>
        </w:rPr>
        <w:t>»</w:t>
      </w:r>
      <w:r w:rsidR="001863FE">
        <w:rPr>
          <w:rFonts w:hint="cs"/>
          <w:sz w:val="28"/>
          <w:rtl/>
        </w:rPr>
        <w:t>.</w:t>
      </w:r>
    </w:p>
    <w:p w:rsidR="00E74CCB" w:rsidRDefault="00E74CCB" w:rsidP="00E74CCB">
      <w:pPr>
        <w:bidi/>
        <w:ind w:left="34" w:hanging="8"/>
        <w:jc w:val="both"/>
        <w:rPr>
          <w:b/>
          <w:bCs/>
          <w:rtl/>
        </w:rPr>
      </w:pPr>
    </w:p>
    <w:p w:rsidR="00E74CCB" w:rsidRDefault="00E74CCB" w:rsidP="00E74CCB">
      <w:pPr>
        <w:bidi/>
        <w:jc w:val="both"/>
        <w:rPr>
          <w:sz w:val="28"/>
          <w:rtl/>
        </w:rPr>
      </w:pPr>
      <w:r>
        <w:rPr>
          <w:b/>
          <w:bCs/>
          <w:sz w:val="28"/>
          <w:u w:val="single"/>
          <w:rtl/>
        </w:rPr>
        <w:t>المادة التاسعة عشرة:</w:t>
      </w:r>
    </w:p>
    <w:p w:rsidR="00E74CCB" w:rsidRDefault="00E74CCB" w:rsidP="00237BB0">
      <w:pPr>
        <w:bidi/>
        <w:ind w:firstLine="720"/>
        <w:jc w:val="both"/>
        <w:rPr>
          <w:sz w:val="28"/>
          <w:rtl/>
        </w:rPr>
      </w:pPr>
      <w:r>
        <w:rPr>
          <w:rFonts w:ascii="Arial" w:hAnsi="Arial"/>
          <w:sz w:val="28"/>
          <w:rtl/>
        </w:rPr>
        <w:t>يعمل بهذا القانون فور نشره في الجريدة الرسمية.</w:t>
      </w:r>
    </w:p>
    <w:p w:rsidR="00E74CCB" w:rsidRDefault="00E74CCB" w:rsidP="00E74CCB">
      <w:pPr>
        <w:bidi/>
        <w:rPr>
          <w:szCs w:val="20"/>
          <w:rtl/>
        </w:rPr>
      </w:pPr>
    </w:p>
    <w:p w:rsidR="00E83C73" w:rsidRPr="00446B7C" w:rsidRDefault="00E83C73" w:rsidP="00E83C73">
      <w:pPr>
        <w:bidi/>
        <w:rPr>
          <w:szCs w:val="20"/>
          <w:rtl/>
        </w:rPr>
      </w:pPr>
      <w:bookmarkStart w:id="0" w:name="_GoBack"/>
      <w:bookmarkEnd w:id="0"/>
    </w:p>
    <w:p w:rsidR="00E83C73" w:rsidRPr="00912C43" w:rsidRDefault="00E83C73" w:rsidP="00912C43">
      <w:pPr>
        <w:bidi/>
        <w:jc w:val="both"/>
        <w:rPr>
          <w:rFonts w:ascii="Arial" w:hAnsi="Arial"/>
          <w:sz w:val="28"/>
          <w:rtl/>
        </w:rPr>
      </w:pPr>
    </w:p>
    <w:sectPr w:rsidR="00E83C73" w:rsidRPr="00912C43" w:rsidSect="00201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851" w:bottom="851" w:left="851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D7" w:rsidRDefault="007D26D7">
      <w:r>
        <w:separator/>
      </w:r>
    </w:p>
  </w:endnote>
  <w:endnote w:type="continuationSeparator" w:id="0">
    <w:p w:rsidR="007D26D7" w:rsidRDefault="007D2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CD" w:rsidRDefault="008443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6E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6ECD" w:rsidRDefault="00FD6E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055"/>
      <w:docPartObj>
        <w:docPartGallery w:val="Page Numbers (Bottom of Page)"/>
        <w:docPartUnique/>
      </w:docPartObj>
    </w:sdtPr>
    <w:sdtContent>
      <w:p w:rsidR="00912C43" w:rsidRDefault="008443D5">
        <w:pPr>
          <w:pStyle w:val="Footer"/>
          <w:jc w:val="center"/>
        </w:pPr>
        <w:r>
          <w:fldChar w:fldCharType="begin"/>
        </w:r>
        <w:r w:rsidR="00912C43">
          <w:instrText xml:space="preserve"> PAGE   \* MERGEFORMAT </w:instrText>
        </w:r>
        <w:r>
          <w:fldChar w:fldCharType="separate"/>
        </w:r>
        <w:r w:rsidR="00DA2E59">
          <w:t>2</w:t>
        </w:r>
        <w:r>
          <w:fldChar w:fldCharType="end"/>
        </w:r>
      </w:p>
    </w:sdtContent>
  </w:sdt>
  <w:p w:rsidR="00FD6ECD" w:rsidRDefault="00FD6E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CD" w:rsidRDefault="00FD6E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D7" w:rsidRDefault="007D26D7">
      <w:r>
        <w:separator/>
      </w:r>
    </w:p>
  </w:footnote>
  <w:footnote w:type="continuationSeparator" w:id="0">
    <w:p w:rsidR="007D26D7" w:rsidRDefault="007D2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CD" w:rsidRDefault="00FD6E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CD" w:rsidRDefault="00FD6E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CD" w:rsidRDefault="00FD6E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05C"/>
    <w:multiLevelType w:val="hybridMultilevel"/>
    <w:tmpl w:val="BCDE092A"/>
    <w:lvl w:ilvl="0" w:tplc="5970941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1A22AC5"/>
    <w:multiLevelType w:val="hybridMultilevel"/>
    <w:tmpl w:val="924E2D00"/>
    <w:lvl w:ilvl="0" w:tplc="07A240CE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23F2EF3"/>
    <w:multiLevelType w:val="hybridMultilevel"/>
    <w:tmpl w:val="F57C2080"/>
    <w:lvl w:ilvl="0" w:tplc="D52ECA14">
      <w:start w:val="1"/>
      <w:numFmt w:val="decimal"/>
      <w:lvlText w:val="%1-"/>
      <w:lvlJc w:val="left"/>
      <w:pPr>
        <w:tabs>
          <w:tab w:val="num" w:pos="2112"/>
        </w:tabs>
        <w:ind w:left="2112" w:hanging="54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2"/>
        </w:tabs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3">
    <w:nsid w:val="1DD24B7F"/>
    <w:multiLevelType w:val="hybridMultilevel"/>
    <w:tmpl w:val="BD3E7D76"/>
    <w:lvl w:ilvl="0" w:tplc="85D0EAE4">
      <w:start w:val="1"/>
      <w:numFmt w:val="arabicAlpha"/>
      <w:lvlText w:val="%1-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4716597"/>
    <w:multiLevelType w:val="hybridMultilevel"/>
    <w:tmpl w:val="D8C23BBC"/>
    <w:lvl w:ilvl="0" w:tplc="E9260C86">
      <w:start w:val="1"/>
      <w:numFmt w:val="decimal"/>
      <w:lvlText w:val="%1-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481B64A7"/>
    <w:multiLevelType w:val="hybridMultilevel"/>
    <w:tmpl w:val="16C62352"/>
    <w:lvl w:ilvl="0" w:tplc="047C5DE2">
      <w:start w:val="1"/>
      <w:numFmt w:val="decimal"/>
      <w:lvlText w:val="%1-"/>
      <w:lvlJc w:val="left"/>
      <w:pPr>
        <w:tabs>
          <w:tab w:val="num" w:pos="756"/>
        </w:tabs>
        <w:ind w:left="756" w:hanging="396"/>
      </w:pPr>
      <w:rPr>
        <w:rFonts w:cs="Times New Roman"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AC0F62"/>
    <w:multiLevelType w:val="hybridMultilevel"/>
    <w:tmpl w:val="2A9627C6"/>
    <w:lvl w:ilvl="0" w:tplc="22C2D926">
      <w:start w:val="1"/>
      <w:numFmt w:val="decimal"/>
      <w:lvlText w:val="%1-"/>
      <w:lvlJc w:val="left"/>
      <w:pPr>
        <w:tabs>
          <w:tab w:val="num" w:pos="2010"/>
        </w:tabs>
        <w:ind w:left="2010" w:hanging="43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>
    <w:nsid w:val="5BA10BC0"/>
    <w:multiLevelType w:val="hybridMultilevel"/>
    <w:tmpl w:val="00F06D46"/>
    <w:lvl w:ilvl="0" w:tplc="C99CFAFA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D61CF5"/>
    <w:multiLevelType w:val="hybridMultilevel"/>
    <w:tmpl w:val="995CFD38"/>
    <w:lvl w:ilvl="0" w:tplc="8556B3DC">
      <w:start w:val="7"/>
      <w:numFmt w:val="decimal"/>
      <w:lvlText w:val="%1"/>
      <w:lvlJc w:val="left"/>
      <w:pPr>
        <w:tabs>
          <w:tab w:val="num" w:pos="1944"/>
        </w:tabs>
        <w:ind w:left="19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64"/>
        </w:tabs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4"/>
        </w:tabs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9">
    <w:nsid w:val="69367B8F"/>
    <w:multiLevelType w:val="hybridMultilevel"/>
    <w:tmpl w:val="4728330C"/>
    <w:lvl w:ilvl="0" w:tplc="7D6065DC">
      <w:start w:val="1"/>
      <w:numFmt w:val="decimal"/>
      <w:lvlText w:val="%1-"/>
      <w:lvlJc w:val="left"/>
      <w:pPr>
        <w:tabs>
          <w:tab w:val="num" w:pos="1836"/>
        </w:tabs>
        <w:ind w:left="1836" w:hanging="396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9FD54A6"/>
    <w:multiLevelType w:val="hybridMultilevel"/>
    <w:tmpl w:val="3E2C8E2E"/>
    <w:lvl w:ilvl="0" w:tplc="6E42347E">
      <w:start w:val="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D065310"/>
    <w:multiLevelType w:val="hybridMultilevel"/>
    <w:tmpl w:val="96885D2E"/>
    <w:lvl w:ilvl="0" w:tplc="C0B8FF2A">
      <w:start w:val="1"/>
      <w:numFmt w:val="decimal"/>
      <w:lvlText w:val="%1-"/>
      <w:lvlJc w:val="left"/>
      <w:pPr>
        <w:tabs>
          <w:tab w:val="num" w:pos="1935"/>
        </w:tabs>
        <w:ind w:left="193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01973"/>
    <w:multiLevelType w:val="hybridMultilevel"/>
    <w:tmpl w:val="EB28FC74"/>
    <w:lvl w:ilvl="0" w:tplc="7CC61CC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4A40B5C"/>
    <w:multiLevelType w:val="hybridMultilevel"/>
    <w:tmpl w:val="5BBEFC1C"/>
    <w:lvl w:ilvl="0" w:tplc="ABF8CC98">
      <w:start w:val="1"/>
      <w:numFmt w:val="arabicAlpha"/>
      <w:lvlText w:val="%1-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80D673F"/>
    <w:multiLevelType w:val="hybridMultilevel"/>
    <w:tmpl w:val="3D0EB586"/>
    <w:lvl w:ilvl="0" w:tplc="11927A52">
      <w:start w:val="1"/>
      <w:numFmt w:val="decimal"/>
      <w:lvlText w:val="%1-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7C843A76"/>
    <w:multiLevelType w:val="hybridMultilevel"/>
    <w:tmpl w:val="AE6E4460"/>
    <w:lvl w:ilvl="0" w:tplc="E1308DF6">
      <w:start w:val="1"/>
      <w:numFmt w:val="decimal"/>
      <w:lvlText w:val="%1-"/>
      <w:lvlJc w:val="left"/>
      <w:pPr>
        <w:tabs>
          <w:tab w:val="num" w:pos="2880"/>
        </w:tabs>
        <w:ind w:left="2880" w:hanging="588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72"/>
        </w:tabs>
        <w:ind w:left="33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2"/>
        </w:tabs>
        <w:ind w:left="40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2"/>
        </w:tabs>
        <w:ind w:left="48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2"/>
        </w:tabs>
        <w:ind w:left="55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2"/>
        </w:tabs>
        <w:ind w:left="62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2"/>
        </w:tabs>
        <w:ind w:left="69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2"/>
        </w:tabs>
        <w:ind w:left="76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2"/>
        </w:tabs>
        <w:ind w:left="8412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3"/>
  </w:num>
  <w:num w:numId="5">
    <w:abstractNumId w:val="3"/>
  </w:num>
  <w:num w:numId="6">
    <w:abstractNumId w:val="15"/>
  </w:num>
  <w:num w:numId="7">
    <w:abstractNumId w:val="4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206"/>
    <w:rsid w:val="00002EC0"/>
    <w:rsid w:val="00026305"/>
    <w:rsid w:val="000A4A15"/>
    <w:rsid w:val="000F7F37"/>
    <w:rsid w:val="00121870"/>
    <w:rsid w:val="00137206"/>
    <w:rsid w:val="0015688A"/>
    <w:rsid w:val="001863FE"/>
    <w:rsid w:val="00193D75"/>
    <w:rsid w:val="001A16DC"/>
    <w:rsid w:val="00201ECB"/>
    <w:rsid w:val="002065F4"/>
    <w:rsid w:val="002117AE"/>
    <w:rsid w:val="00211CDA"/>
    <w:rsid w:val="00237BB0"/>
    <w:rsid w:val="002609A1"/>
    <w:rsid w:val="0026133B"/>
    <w:rsid w:val="002A12EE"/>
    <w:rsid w:val="002B3D13"/>
    <w:rsid w:val="002D51CB"/>
    <w:rsid w:val="002D7190"/>
    <w:rsid w:val="002D7605"/>
    <w:rsid w:val="00401156"/>
    <w:rsid w:val="004266CC"/>
    <w:rsid w:val="004329B1"/>
    <w:rsid w:val="00446B7C"/>
    <w:rsid w:val="00460DA3"/>
    <w:rsid w:val="004A4FA3"/>
    <w:rsid w:val="004B35D2"/>
    <w:rsid w:val="005A3FD5"/>
    <w:rsid w:val="005D441A"/>
    <w:rsid w:val="00607957"/>
    <w:rsid w:val="00607C30"/>
    <w:rsid w:val="0061415C"/>
    <w:rsid w:val="00627079"/>
    <w:rsid w:val="006350F0"/>
    <w:rsid w:val="007D26D7"/>
    <w:rsid w:val="007D368D"/>
    <w:rsid w:val="008443D5"/>
    <w:rsid w:val="00874391"/>
    <w:rsid w:val="008B3776"/>
    <w:rsid w:val="008B4B46"/>
    <w:rsid w:val="008E4CC3"/>
    <w:rsid w:val="00912C43"/>
    <w:rsid w:val="009243C0"/>
    <w:rsid w:val="00966B83"/>
    <w:rsid w:val="00996BCC"/>
    <w:rsid w:val="00A4126E"/>
    <w:rsid w:val="00A42744"/>
    <w:rsid w:val="00A537A2"/>
    <w:rsid w:val="00AD222F"/>
    <w:rsid w:val="00B52EA0"/>
    <w:rsid w:val="00B86FDC"/>
    <w:rsid w:val="00B87C82"/>
    <w:rsid w:val="00C16AD3"/>
    <w:rsid w:val="00C544CA"/>
    <w:rsid w:val="00C91BB1"/>
    <w:rsid w:val="00C97652"/>
    <w:rsid w:val="00CC138C"/>
    <w:rsid w:val="00D13568"/>
    <w:rsid w:val="00D47CFB"/>
    <w:rsid w:val="00D62885"/>
    <w:rsid w:val="00D71EBA"/>
    <w:rsid w:val="00D76BFE"/>
    <w:rsid w:val="00D8279E"/>
    <w:rsid w:val="00DA2E59"/>
    <w:rsid w:val="00DB0113"/>
    <w:rsid w:val="00DF0A9A"/>
    <w:rsid w:val="00E0218D"/>
    <w:rsid w:val="00E155AB"/>
    <w:rsid w:val="00E2290C"/>
    <w:rsid w:val="00E74CCB"/>
    <w:rsid w:val="00E83C73"/>
    <w:rsid w:val="00EB0464"/>
    <w:rsid w:val="00EC3DBC"/>
    <w:rsid w:val="00EF02CE"/>
    <w:rsid w:val="00F611CA"/>
    <w:rsid w:val="00F634C2"/>
    <w:rsid w:val="00FD6ECD"/>
    <w:rsid w:val="00FF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15C"/>
    <w:rPr>
      <w:rFonts w:cs="Simplified Arabic"/>
      <w:noProof/>
      <w:szCs w:val="28"/>
      <w:lang w:bidi="ar-LB"/>
    </w:rPr>
  </w:style>
  <w:style w:type="paragraph" w:styleId="Heading1">
    <w:name w:val="heading 1"/>
    <w:basedOn w:val="Normal"/>
    <w:next w:val="Normal"/>
    <w:qFormat/>
    <w:rsid w:val="0061415C"/>
    <w:pPr>
      <w:keepNext/>
      <w:bidi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6141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61415C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val="en-GB" w:bidi="ar-SA"/>
    </w:rPr>
  </w:style>
  <w:style w:type="paragraph" w:styleId="Heading4">
    <w:name w:val="heading 4"/>
    <w:basedOn w:val="Normal"/>
    <w:next w:val="Normal"/>
    <w:qFormat/>
    <w:rsid w:val="0061415C"/>
    <w:pPr>
      <w:keepNext/>
      <w:bidi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1415C"/>
    <w:pPr>
      <w:keepNext/>
      <w:bidi/>
      <w:ind w:left="1440" w:hanging="1440"/>
      <w:jc w:val="center"/>
      <w:outlineLvl w:val="4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61415C"/>
    <w:pPr>
      <w:keepNext/>
      <w:overflowPunct w:val="0"/>
      <w:autoSpaceDE w:val="0"/>
      <w:autoSpaceDN w:val="0"/>
      <w:bidi/>
      <w:adjustRightInd w:val="0"/>
      <w:jc w:val="center"/>
      <w:textAlignment w:val="baseline"/>
      <w:outlineLvl w:val="6"/>
    </w:pPr>
    <w:rPr>
      <w:b/>
      <w:bCs/>
      <w:noProof w:val="0"/>
      <w:sz w:val="28"/>
      <w:lang w:bidi="ar-SA"/>
    </w:rPr>
  </w:style>
  <w:style w:type="paragraph" w:styleId="Heading8">
    <w:name w:val="heading 8"/>
    <w:basedOn w:val="Normal"/>
    <w:next w:val="Normal"/>
    <w:qFormat/>
    <w:rsid w:val="0061415C"/>
    <w:pPr>
      <w:keepNext/>
      <w:bidi/>
      <w:jc w:val="both"/>
      <w:outlineLvl w:val="7"/>
    </w:pPr>
    <w:rPr>
      <w:b/>
      <w:bCs/>
      <w:noProof w:val="0"/>
      <w:sz w:val="28"/>
      <w:u w:val="single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41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1415C"/>
  </w:style>
  <w:style w:type="paragraph" w:styleId="Header">
    <w:name w:val="header"/>
    <w:basedOn w:val="Normal"/>
    <w:rsid w:val="0061415C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1415C"/>
    <w:pPr>
      <w:bidi/>
      <w:ind w:left="1440" w:hanging="1440"/>
      <w:jc w:val="both"/>
    </w:pPr>
  </w:style>
  <w:style w:type="paragraph" w:styleId="BodyTextIndent2">
    <w:name w:val="Body Text Indent 2"/>
    <w:basedOn w:val="Normal"/>
    <w:rsid w:val="0061415C"/>
    <w:pPr>
      <w:bidi/>
      <w:ind w:left="1440" w:hanging="1440"/>
      <w:jc w:val="both"/>
    </w:pPr>
  </w:style>
  <w:style w:type="paragraph" w:styleId="BodyTextIndent3">
    <w:name w:val="Body Text Indent 3"/>
    <w:basedOn w:val="Normal"/>
    <w:rsid w:val="0061415C"/>
    <w:pPr>
      <w:bidi/>
      <w:ind w:left="1440"/>
    </w:pPr>
  </w:style>
  <w:style w:type="paragraph" w:styleId="ListParagraph">
    <w:name w:val="List Paragraph"/>
    <w:basedOn w:val="Normal"/>
    <w:uiPriority w:val="34"/>
    <w:qFormat/>
    <w:rsid w:val="00D8279E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12C43"/>
    <w:rPr>
      <w:rFonts w:cs="Simplified Arabic"/>
      <w:noProof/>
      <w:szCs w:val="28"/>
      <w:lang w:bidi="ar-LB"/>
    </w:rPr>
  </w:style>
  <w:style w:type="paragraph" w:styleId="BalloonText">
    <w:name w:val="Balloon Text"/>
    <w:basedOn w:val="Normal"/>
    <w:link w:val="BalloonTextChar"/>
    <w:rsid w:val="00E22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90C"/>
    <w:rPr>
      <w:rFonts w:ascii="Tahoma" w:hAnsi="Tahoma" w:cs="Tahoma"/>
      <w:noProof/>
      <w:sz w:val="16"/>
      <w:szCs w:val="16"/>
      <w:lang w:bidi="ar-L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LP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SIMON</dc:creator>
  <cp:lastModifiedBy>sony</cp:lastModifiedBy>
  <cp:revision>2</cp:revision>
  <cp:lastPrinted>2014-04-07T05:30:00Z</cp:lastPrinted>
  <dcterms:created xsi:type="dcterms:W3CDTF">2016-04-27T17:00:00Z</dcterms:created>
  <dcterms:modified xsi:type="dcterms:W3CDTF">2016-04-27T17:00:00Z</dcterms:modified>
</cp:coreProperties>
</file>